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9EB" w:rsidRDefault="0042104D">
      <w:pPr>
        <w:pStyle w:val="Heading4"/>
        <w:jc w:val="center"/>
        <w:rPr>
          <w:rFonts w:ascii="Arial" w:hAnsi="Arial" w:cs="Arial"/>
          <w:sz w:val="32"/>
          <w:szCs w:val="32"/>
          <w:u w:val="single"/>
        </w:rPr>
      </w:pPr>
      <w:bookmarkStart w:id="0" w:name="OLE_LINK1"/>
      <w:bookmarkStart w:id="1" w:name="1"/>
      <w:bookmarkStart w:id="2" w:name="_GoBack"/>
      <w:bookmarkEnd w:id="2"/>
      <w:r>
        <w:rPr>
          <w:rFonts w:ascii="Arial" w:hAnsi="Arial" w:cs="Arial"/>
          <w:noProof/>
        </w:rPr>
        <w:drawing>
          <wp:inline distT="0" distB="0" distL="0" distR="0">
            <wp:extent cx="1838325" cy="800100"/>
            <wp:effectExtent l="19050" t="0" r="9525" b="0"/>
            <wp:docPr id="1" name="Picture 1" descr="CCaNNI Logo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NNI Logo 300dpi"/>
                    <pic:cNvPicPr>
                      <a:picLocks noChangeAspect="1" noChangeArrowheads="1"/>
                    </pic:cNvPicPr>
                  </pic:nvPicPr>
                  <pic:blipFill>
                    <a:blip r:embed="rId8" cstate="print"/>
                    <a:srcRect/>
                    <a:stretch>
                      <a:fillRect/>
                    </a:stretch>
                  </pic:blipFill>
                  <pic:spPr bwMode="auto">
                    <a:xfrm>
                      <a:off x="0" y="0"/>
                      <a:ext cx="1838325" cy="800100"/>
                    </a:xfrm>
                    <a:prstGeom prst="rect">
                      <a:avLst/>
                    </a:prstGeom>
                    <a:noFill/>
                    <a:ln w="9525">
                      <a:noFill/>
                      <a:miter lim="800000"/>
                      <a:headEnd/>
                      <a:tailEnd/>
                    </a:ln>
                  </pic:spPr>
                </pic:pic>
              </a:graphicData>
            </a:graphic>
          </wp:inline>
        </w:drawing>
      </w:r>
      <w:bookmarkEnd w:id="0"/>
    </w:p>
    <w:bookmarkEnd w:id="1"/>
    <w:p w:rsidR="009F09EB" w:rsidRDefault="009F09EB">
      <w:pPr>
        <w:pStyle w:val="Heading2"/>
      </w:pPr>
      <w:r>
        <w:t>Guidelines for Insertion and Maintenance of Central Venous Catheters</w:t>
      </w:r>
    </w:p>
    <w:p w:rsidR="009F09EB" w:rsidRDefault="009F09EB"/>
    <w:p w:rsidR="009F09EB" w:rsidRDefault="009F09EB">
      <w:pPr>
        <w:numPr>
          <w:ilvl w:val="0"/>
          <w:numId w:val="33"/>
        </w:numPr>
        <w:jc w:val="both"/>
        <w:rPr>
          <w:rFonts w:cs="Arial"/>
          <w:b/>
          <w:bCs/>
          <w:sz w:val="20"/>
        </w:rPr>
      </w:pPr>
      <w:r>
        <w:rPr>
          <w:rFonts w:cs="Arial"/>
          <w:b/>
          <w:bCs/>
          <w:sz w:val="20"/>
        </w:rPr>
        <w:t>The purpose/objective of the standard/guideline</w:t>
      </w:r>
    </w:p>
    <w:p w:rsidR="009F09EB" w:rsidRDefault="009F09EB">
      <w:pPr>
        <w:pStyle w:val="BodyTextIndent"/>
      </w:pPr>
      <w:r>
        <w:t xml:space="preserve">The aim of this guideline is to minimise catheter related blood stream </w:t>
      </w:r>
      <w:r w:rsidR="009D7919">
        <w:t>infection (</w:t>
      </w:r>
      <w:r>
        <w:t>CR-BSI) by suggesting evidence-based strategies for the management of CVCs.</w:t>
      </w:r>
    </w:p>
    <w:p w:rsidR="009F09EB" w:rsidRDefault="009F09EB">
      <w:pPr>
        <w:ind w:left="720"/>
        <w:jc w:val="both"/>
        <w:rPr>
          <w:rFonts w:cs="Arial"/>
          <w:sz w:val="20"/>
        </w:rPr>
      </w:pPr>
    </w:p>
    <w:p w:rsidR="009F09EB" w:rsidRDefault="009F09EB">
      <w:pPr>
        <w:numPr>
          <w:ilvl w:val="0"/>
          <w:numId w:val="33"/>
        </w:numPr>
        <w:jc w:val="both"/>
        <w:rPr>
          <w:rFonts w:cs="Arial"/>
          <w:b/>
          <w:bCs/>
          <w:sz w:val="20"/>
        </w:rPr>
      </w:pPr>
      <w:r>
        <w:rPr>
          <w:rFonts w:cs="Arial"/>
          <w:b/>
          <w:bCs/>
          <w:sz w:val="20"/>
        </w:rPr>
        <w:t>Intended target population</w:t>
      </w:r>
    </w:p>
    <w:p w:rsidR="009F09EB" w:rsidRDefault="009F09EB">
      <w:pPr>
        <w:pStyle w:val="BodyTextIndent"/>
      </w:pPr>
      <w:r>
        <w:t>The guideline is primarily aimed at Critical Care Units but may be equally applicable to ward management where appropriate.</w:t>
      </w:r>
    </w:p>
    <w:p w:rsidR="009F09EB" w:rsidRDefault="009F09EB">
      <w:pPr>
        <w:ind w:left="1980" w:hanging="1080"/>
        <w:jc w:val="both"/>
        <w:rPr>
          <w:rFonts w:cs="Arial"/>
          <w:i/>
          <w:sz w:val="20"/>
        </w:rPr>
      </w:pPr>
    </w:p>
    <w:p w:rsidR="009F09EB" w:rsidRDefault="009F09EB">
      <w:pPr>
        <w:numPr>
          <w:ilvl w:val="0"/>
          <w:numId w:val="33"/>
        </w:numPr>
        <w:jc w:val="both"/>
        <w:rPr>
          <w:rFonts w:cs="Arial"/>
          <w:b/>
          <w:bCs/>
          <w:sz w:val="20"/>
        </w:rPr>
      </w:pPr>
      <w:r>
        <w:rPr>
          <w:rFonts w:cs="Arial"/>
          <w:b/>
          <w:bCs/>
          <w:sz w:val="20"/>
        </w:rPr>
        <w:t>Methods used to collect and select evidence</w:t>
      </w:r>
    </w:p>
    <w:p w:rsidR="009F09EB" w:rsidRDefault="009F09EB">
      <w:pPr>
        <w:ind w:left="900"/>
        <w:rPr>
          <w:rFonts w:cs="Arial"/>
          <w:b/>
          <w:bCs/>
          <w:i/>
          <w:iCs/>
          <w:sz w:val="20"/>
        </w:rPr>
      </w:pPr>
      <w:r>
        <w:rPr>
          <w:rFonts w:cs="Arial"/>
          <w:i/>
          <w:iCs/>
          <w:sz w:val="20"/>
        </w:rPr>
        <w:t>This guideline is based on the central venous catheter section in the Department of Health (UK</w:t>
      </w:r>
      <w:r w:rsidR="004205DD">
        <w:rPr>
          <w:rFonts w:cs="Arial"/>
          <w:i/>
          <w:iCs/>
          <w:sz w:val="20"/>
        </w:rPr>
        <w:t>) commissioned “epic 3</w:t>
      </w:r>
      <w:r>
        <w:rPr>
          <w:rFonts w:cs="Arial"/>
          <w:i/>
          <w:iCs/>
          <w:sz w:val="20"/>
        </w:rPr>
        <w:t>: National Evidence-Based Guidelines for Preventing Healthcare-Associated Infections in NHS Hospitals in England”</w:t>
      </w:r>
      <w:r>
        <w:rPr>
          <w:rFonts w:cs="Arial"/>
          <w:i/>
          <w:iCs/>
          <w:sz w:val="20"/>
          <w:vertAlign w:val="superscript"/>
        </w:rPr>
        <w:t xml:space="preserve">1. </w:t>
      </w:r>
    </w:p>
    <w:p w:rsidR="009F09EB" w:rsidRDefault="009F09EB">
      <w:pPr>
        <w:ind w:left="360"/>
        <w:jc w:val="both"/>
        <w:rPr>
          <w:rFonts w:cs="Arial"/>
          <w:b/>
          <w:bCs/>
          <w:sz w:val="20"/>
        </w:rPr>
      </w:pPr>
    </w:p>
    <w:p w:rsidR="009F09EB" w:rsidRDefault="009F09EB">
      <w:pPr>
        <w:numPr>
          <w:ilvl w:val="0"/>
          <w:numId w:val="33"/>
        </w:numPr>
        <w:jc w:val="both"/>
        <w:rPr>
          <w:rFonts w:cs="Arial"/>
          <w:b/>
          <w:bCs/>
          <w:sz w:val="20"/>
        </w:rPr>
      </w:pPr>
      <w:r>
        <w:rPr>
          <w:rFonts w:cs="Arial"/>
          <w:b/>
          <w:bCs/>
          <w:sz w:val="20"/>
        </w:rPr>
        <w:t>Sources of information used in development of standard/guideline</w:t>
      </w:r>
    </w:p>
    <w:p w:rsidR="009F09EB" w:rsidRDefault="009F09EB">
      <w:pPr>
        <w:pStyle w:val="BodyTextIndent"/>
      </w:pPr>
      <w:r>
        <w:t>This work in turn was based upon an expert review of evidence-based guidelines for preventing intravascular device related infections, developed at the Centers for Disease Control and Prevention (CDC) by the Healthcare Infection Control Practices Advisory Committee (HIC</w:t>
      </w:r>
      <w:r w:rsidR="004205DD">
        <w:t>PAC), which were updated in 2011</w:t>
      </w:r>
      <w:r>
        <w:t xml:space="preserve">. </w:t>
      </w:r>
    </w:p>
    <w:p w:rsidR="009F09EB" w:rsidRDefault="009F09EB">
      <w:pPr>
        <w:ind w:left="1980"/>
        <w:jc w:val="both"/>
        <w:rPr>
          <w:rFonts w:cs="Arial"/>
          <w:i/>
          <w:sz w:val="20"/>
        </w:rPr>
      </w:pPr>
    </w:p>
    <w:p w:rsidR="009F09EB" w:rsidRDefault="009F09EB">
      <w:pPr>
        <w:numPr>
          <w:ilvl w:val="0"/>
          <w:numId w:val="33"/>
        </w:numPr>
        <w:jc w:val="both"/>
        <w:rPr>
          <w:rFonts w:cs="Arial"/>
          <w:b/>
          <w:bCs/>
          <w:sz w:val="20"/>
        </w:rPr>
      </w:pPr>
      <w:r>
        <w:rPr>
          <w:rFonts w:cs="Arial"/>
          <w:b/>
          <w:bCs/>
          <w:sz w:val="20"/>
        </w:rPr>
        <w:t>Assessment of the strength of the evidence (using a rating scheme)</w:t>
      </w:r>
    </w:p>
    <w:p w:rsidR="009F09EB" w:rsidRDefault="009F09EB">
      <w:pPr>
        <w:pStyle w:val="Heading1"/>
      </w:pPr>
      <w:r>
        <w:t>As above</w:t>
      </w:r>
    </w:p>
    <w:p w:rsidR="009F09EB" w:rsidRDefault="009F09EB">
      <w:pPr>
        <w:ind w:left="1980"/>
        <w:jc w:val="both"/>
        <w:rPr>
          <w:rFonts w:cs="Arial"/>
          <w:i/>
          <w:sz w:val="20"/>
        </w:rPr>
      </w:pPr>
    </w:p>
    <w:p w:rsidR="009F09EB" w:rsidRDefault="009F09EB">
      <w:pPr>
        <w:numPr>
          <w:ilvl w:val="0"/>
          <w:numId w:val="33"/>
        </w:numPr>
        <w:jc w:val="both"/>
        <w:rPr>
          <w:rFonts w:cs="Arial"/>
          <w:b/>
          <w:bCs/>
          <w:sz w:val="20"/>
        </w:rPr>
      </w:pPr>
      <w:r>
        <w:rPr>
          <w:rFonts w:cs="Arial"/>
          <w:b/>
          <w:bCs/>
          <w:sz w:val="20"/>
        </w:rPr>
        <w:t>Method used to formulate recommendations</w:t>
      </w:r>
    </w:p>
    <w:p w:rsidR="009F09EB" w:rsidRDefault="009F09EB">
      <w:pPr>
        <w:pStyle w:val="Heading1"/>
      </w:pPr>
      <w:r>
        <w:t>As above</w:t>
      </w:r>
    </w:p>
    <w:p w:rsidR="009F09EB" w:rsidRDefault="009F09EB">
      <w:pPr>
        <w:ind w:left="1980"/>
        <w:jc w:val="both"/>
        <w:rPr>
          <w:rFonts w:cs="Arial"/>
          <w:i/>
          <w:sz w:val="20"/>
        </w:rPr>
      </w:pPr>
    </w:p>
    <w:p w:rsidR="009F09EB" w:rsidRDefault="009F09EB">
      <w:pPr>
        <w:numPr>
          <w:ilvl w:val="0"/>
          <w:numId w:val="33"/>
        </w:numPr>
        <w:jc w:val="both"/>
        <w:rPr>
          <w:rFonts w:cs="Arial"/>
          <w:b/>
          <w:bCs/>
          <w:sz w:val="20"/>
        </w:rPr>
      </w:pPr>
      <w:r>
        <w:rPr>
          <w:rFonts w:cs="Arial"/>
          <w:b/>
          <w:bCs/>
          <w:sz w:val="20"/>
        </w:rPr>
        <w:t>Recommendations</w:t>
      </w:r>
    </w:p>
    <w:p w:rsidR="009F09EB" w:rsidRDefault="009F09EB">
      <w:pPr>
        <w:pStyle w:val="BodyTextIndent2"/>
      </w:pPr>
      <w:r>
        <w:t>CCaNNI accept the guideline developed by DoH with modifications to reflect local practices</w:t>
      </w:r>
    </w:p>
    <w:p w:rsidR="009F09EB" w:rsidRDefault="009F09EB">
      <w:pPr>
        <w:ind w:left="1980"/>
        <w:jc w:val="both"/>
        <w:rPr>
          <w:rFonts w:cs="Arial"/>
          <w:i/>
          <w:sz w:val="20"/>
        </w:rPr>
      </w:pPr>
    </w:p>
    <w:p w:rsidR="009F09EB" w:rsidRDefault="009F09EB">
      <w:pPr>
        <w:numPr>
          <w:ilvl w:val="0"/>
          <w:numId w:val="33"/>
        </w:numPr>
        <w:jc w:val="both"/>
        <w:rPr>
          <w:rFonts w:cs="Arial"/>
          <w:b/>
          <w:bCs/>
          <w:sz w:val="20"/>
        </w:rPr>
      </w:pPr>
      <w:r>
        <w:rPr>
          <w:rFonts w:cs="Arial"/>
          <w:b/>
          <w:bCs/>
          <w:sz w:val="20"/>
        </w:rPr>
        <w:t>Cost analysis (&amp; timescale for implementation)</w:t>
      </w:r>
    </w:p>
    <w:p w:rsidR="009F09EB" w:rsidRDefault="009F09EB">
      <w:pPr>
        <w:pStyle w:val="Heading1"/>
      </w:pPr>
      <w:r>
        <w:t xml:space="preserve">Immediate implementation </w:t>
      </w:r>
    </w:p>
    <w:p w:rsidR="009F09EB" w:rsidRDefault="009F09EB">
      <w:pPr>
        <w:ind w:left="1980"/>
        <w:jc w:val="both"/>
        <w:rPr>
          <w:rFonts w:cs="Arial"/>
          <w:i/>
          <w:sz w:val="20"/>
        </w:rPr>
      </w:pPr>
    </w:p>
    <w:p w:rsidR="009F09EB" w:rsidRDefault="009F09EB">
      <w:pPr>
        <w:numPr>
          <w:ilvl w:val="0"/>
          <w:numId w:val="33"/>
        </w:numPr>
        <w:jc w:val="both"/>
        <w:rPr>
          <w:rFonts w:cs="Arial"/>
          <w:b/>
          <w:bCs/>
          <w:sz w:val="20"/>
        </w:rPr>
      </w:pPr>
      <w:r>
        <w:rPr>
          <w:rFonts w:cs="Arial"/>
          <w:b/>
          <w:bCs/>
          <w:sz w:val="20"/>
        </w:rPr>
        <w:t>Qualifying statements</w:t>
      </w:r>
    </w:p>
    <w:p w:rsidR="009F09EB" w:rsidRDefault="009F09EB">
      <w:pPr>
        <w:ind w:left="1980"/>
        <w:jc w:val="both"/>
        <w:rPr>
          <w:rFonts w:cs="Arial"/>
          <w:i/>
          <w:sz w:val="20"/>
        </w:rPr>
      </w:pPr>
    </w:p>
    <w:p w:rsidR="009F09EB" w:rsidRDefault="009F09EB">
      <w:pPr>
        <w:ind w:left="1980"/>
        <w:jc w:val="both"/>
        <w:rPr>
          <w:rFonts w:cs="Arial"/>
          <w:i/>
          <w:dstrike/>
          <w:sz w:val="20"/>
        </w:rPr>
      </w:pPr>
    </w:p>
    <w:p w:rsidR="009F09EB" w:rsidRDefault="009F09EB">
      <w:pPr>
        <w:numPr>
          <w:ilvl w:val="0"/>
          <w:numId w:val="33"/>
        </w:numPr>
        <w:jc w:val="both"/>
        <w:rPr>
          <w:rFonts w:cs="Arial"/>
          <w:b/>
          <w:bCs/>
          <w:sz w:val="20"/>
        </w:rPr>
      </w:pPr>
      <w:r>
        <w:rPr>
          <w:rFonts w:cs="Arial"/>
          <w:b/>
          <w:bCs/>
          <w:sz w:val="20"/>
        </w:rPr>
        <w:t>Date of issue</w:t>
      </w:r>
    </w:p>
    <w:p w:rsidR="009F09EB" w:rsidRDefault="00EF57A1">
      <w:pPr>
        <w:ind w:left="1980" w:hanging="1080"/>
        <w:jc w:val="both"/>
        <w:rPr>
          <w:rFonts w:cs="Arial"/>
          <w:sz w:val="20"/>
        </w:rPr>
      </w:pPr>
      <w:r>
        <w:rPr>
          <w:rFonts w:cs="Arial"/>
          <w:sz w:val="20"/>
        </w:rPr>
        <w:t>April 2</w:t>
      </w:r>
      <w:r w:rsidR="00BD70B8">
        <w:rPr>
          <w:rFonts w:cs="Arial"/>
          <w:sz w:val="20"/>
        </w:rPr>
        <w:t>015</w:t>
      </w:r>
    </w:p>
    <w:p w:rsidR="009F09EB" w:rsidRDefault="009F09EB">
      <w:pPr>
        <w:ind w:left="1980"/>
        <w:jc w:val="both"/>
        <w:rPr>
          <w:rFonts w:cs="Arial"/>
          <w:sz w:val="20"/>
        </w:rPr>
      </w:pPr>
    </w:p>
    <w:p w:rsidR="009F09EB" w:rsidRDefault="009F09EB">
      <w:pPr>
        <w:numPr>
          <w:ilvl w:val="0"/>
          <w:numId w:val="33"/>
        </w:numPr>
        <w:jc w:val="both"/>
        <w:rPr>
          <w:rFonts w:cs="Arial"/>
          <w:b/>
          <w:bCs/>
          <w:sz w:val="20"/>
        </w:rPr>
      </w:pPr>
      <w:r>
        <w:rPr>
          <w:rFonts w:cs="Arial"/>
          <w:b/>
          <w:bCs/>
          <w:sz w:val="20"/>
        </w:rPr>
        <w:t>Date for review</w:t>
      </w:r>
    </w:p>
    <w:p w:rsidR="009F09EB" w:rsidRDefault="00EF57A1">
      <w:pPr>
        <w:ind w:left="720"/>
        <w:jc w:val="both"/>
        <w:rPr>
          <w:rFonts w:cs="Arial"/>
          <w:sz w:val="20"/>
        </w:rPr>
      </w:pPr>
      <w:r>
        <w:rPr>
          <w:rFonts w:cs="Arial"/>
          <w:sz w:val="20"/>
        </w:rPr>
        <w:t xml:space="preserve">   April 201</w:t>
      </w:r>
      <w:r w:rsidR="00BD70B8">
        <w:rPr>
          <w:rFonts w:cs="Arial"/>
          <w:sz w:val="20"/>
        </w:rPr>
        <w:t>8</w:t>
      </w:r>
    </w:p>
    <w:p w:rsidR="009F09EB" w:rsidRDefault="009F09EB">
      <w:pPr>
        <w:ind w:left="720"/>
        <w:jc w:val="both"/>
        <w:rPr>
          <w:rFonts w:cs="Arial"/>
          <w:sz w:val="20"/>
        </w:rPr>
      </w:pPr>
    </w:p>
    <w:p w:rsidR="009F09EB" w:rsidRDefault="009F09EB">
      <w:pPr>
        <w:numPr>
          <w:ilvl w:val="0"/>
          <w:numId w:val="33"/>
        </w:numPr>
        <w:jc w:val="both"/>
        <w:rPr>
          <w:rFonts w:cs="Arial"/>
          <w:b/>
          <w:bCs/>
          <w:sz w:val="20"/>
        </w:rPr>
      </w:pPr>
      <w:r>
        <w:rPr>
          <w:rFonts w:cs="Arial"/>
          <w:b/>
          <w:bCs/>
          <w:sz w:val="20"/>
        </w:rPr>
        <w:t>Composition of group authoring standard/guideline</w:t>
      </w:r>
    </w:p>
    <w:p w:rsidR="009F09EB" w:rsidRDefault="009F09EB">
      <w:pPr>
        <w:ind w:firstLine="900"/>
        <w:jc w:val="both"/>
        <w:rPr>
          <w:rFonts w:cs="Arial"/>
          <w:i/>
          <w:iCs/>
          <w:sz w:val="20"/>
        </w:rPr>
      </w:pPr>
      <w:r>
        <w:rPr>
          <w:rFonts w:cs="Arial"/>
          <w:i/>
          <w:iCs/>
          <w:sz w:val="20"/>
        </w:rPr>
        <w:t>CCaNNI Policy Standards &amp; Guidelines sub group</w:t>
      </w:r>
    </w:p>
    <w:p w:rsidR="009F09EB" w:rsidRDefault="009F09EB">
      <w:pPr>
        <w:ind w:firstLine="900"/>
        <w:jc w:val="both"/>
        <w:rPr>
          <w:rFonts w:cs="Arial"/>
          <w:i/>
          <w:iCs/>
          <w:sz w:val="20"/>
        </w:rPr>
      </w:pPr>
    </w:p>
    <w:p w:rsidR="009F09EB" w:rsidRDefault="009F09EB">
      <w:pPr>
        <w:numPr>
          <w:ilvl w:val="0"/>
          <w:numId w:val="33"/>
        </w:numPr>
        <w:jc w:val="both"/>
        <w:rPr>
          <w:rFonts w:cs="Arial"/>
          <w:b/>
          <w:bCs/>
          <w:sz w:val="20"/>
        </w:rPr>
      </w:pPr>
      <w:r>
        <w:rPr>
          <w:rFonts w:cs="Arial"/>
          <w:b/>
          <w:bCs/>
          <w:sz w:val="20"/>
        </w:rPr>
        <w:t>Financial disclosures/conflicts of interest</w:t>
      </w:r>
    </w:p>
    <w:p w:rsidR="009F09EB" w:rsidRDefault="009F09EB">
      <w:pPr>
        <w:jc w:val="both"/>
        <w:rPr>
          <w:rFonts w:cs="Arial"/>
          <w:sz w:val="20"/>
        </w:rPr>
      </w:pPr>
    </w:p>
    <w:p w:rsidR="00343077" w:rsidRDefault="00343077">
      <w:pPr>
        <w:jc w:val="center"/>
        <w:rPr>
          <w:rFonts w:cs="Arial"/>
        </w:rPr>
      </w:pPr>
    </w:p>
    <w:p w:rsidR="009F09EB" w:rsidRDefault="0042104D">
      <w:pPr>
        <w:jc w:val="center"/>
        <w:rPr>
          <w:rFonts w:cs="Arial"/>
        </w:rPr>
      </w:pPr>
      <w:r>
        <w:rPr>
          <w:rFonts w:cs="Arial"/>
          <w:noProof/>
          <w:lang w:eastAsia="en-GB"/>
        </w:rPr>
        <w:lastRenderedPageBreak/>
        <w:drawing>
          <wp:inline distT="0" distB="0" distL="0" distR="0">
            <wp:extent cx="1838325" cy="752475"/>
            <wp:effectExtent l="19050" t="0" r="9525" b="0"/>
            <wp:docPr id="2" name="Picture 2" descr="CCaNNI Logo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aNNI Logo 300dpi"/>
                    <pic:cNvPicPr>
                      <a:picLocks noChangeAspect="1" noChangeArrowheads="1"/>
                    </pic:cNvPicPr>
                  </pic:nvPicPr>
                  <pic:blipFill>
                    <a:blip r:embed="rId9" cstate="print"/>
                    <a:srcRect/>
                    <a:stretch>
                      <a:fillRect/>
                    </a:stretch>
                  </pic:blipFill>
                  <pic:spPr bwMode="auto">
                    <a:xfrm>
                      <a:off x="0" y="0"/>
                      <a:ext cx="1838325" cy="752475"/>
                    </a:xfrm>
                    <a:prstGeom prst="rect">
                      <a:avLst/>
                    </a:prstGeom>
                    <a:noFill/>
                    <a:ln w="9525">
                      <a:noFill/>
                      <a:miter lim="800000"/>
                      <a:headEnd/>
                      <a:tailEnd/>
                    </a:ln>
                  </pic:spPr>
                </pic:pic>
              </a:graphicData>
            </a:graphic>
          </wp:inline>
        </w:drawing>
      </w:r>
    </w:p>
    <w:p w:rsidR="009F09EB" w:rsidRDefault="009F09EB">
      <w:pPr>
        <w:rPr>
          <w:rFonts w:cs="Arial"/>
        </w:rPr>
      </w:pPr>
      <w:r>
        <w:rPr>
          <w:rFonts w:cs="Arial"/>
        </w:rPr>
        <w:tab/>
      </w:r>
    </w:p>
    <w:p w:rsidR="009F09EB" w:rsidRDefault="009F09EB">
      <w:pPr>
        <w:jc w:val="center"/>
        <w:rPr>
          <w:rFonts w:cs="Arial"/>
          <w:b/>
        </w:rPr>
      </w:pPr>
      <w:r>
        <w:rPr>
          <w:rFonts w:cs="Arial"/>
          <w:b/>
        </w:rPr>
        <w:t>Guidelines for Insertion and Maintenance of Central Venous Catheters to Minimise Infectious Complications</w:t>
      </w:r>
    </w:p>
    <w:p w:rsidR="009F09EB" w:rsidRDefault="009F09EB">
      <w:pPr>
        <w:rPr>
          <w:rFonts w:cs="Arial"/>
        </w:rPr>
      </w:pPr>
    </w:p>
    <w:p w:rsidR="009F09EB" w:rsidRPr="00BD7172" w:rsidRDefault="00EF57A1">
      <w:pPr>
        <w:rPr>
          <w:rFonts w:cs="Arial"/>
          <w:b/>
          <w:szCs w:val="24"/>
        </w:rPr>
      </w:pPr>
      <w:r w:rsidRPr="00BD7172">
        <w:rPr>
          <w:rFonts w:cs="Arial"/>
          <w:b/>
          <w:szCs w:val="24"/>
        </w:rPr>
        <w:t>Introduction</w:t>
      </w:r>
    </w:p>
    <w:p w:rsidR="00EF57A1" w:rsidRPr="00BD7172" w:rsidRDefault="00EF57A1">
      <w:pPr>
        <w:rPr>
          <w:rFonts w:cs="Arial"/>
          <w:szCs w:val="24"/>
        </w:rPr>
      </w:pPr>
    </w:p>
    <w:p w:rsidR="00F27490" w:rsidRPr="00BD7172" w:rsidRDefault="00F27490" w:rsidP="00BD7172">
      <w:pPr>
        <w:autoSpaceDE w:val="0"/>
        <w:autoSpaceDN w:val="0"/>
        <w:adjustRightInd w:val="0"/>
        <w:rPr>
          <w:rFonts w:cs="Arial"/>
          <w:szCs w:val="24"/>
          <w:lang w:eastAsia="en-GB"/>
        </w:rPr>
      </w:pPr>
      <w:r w:rsidRPr="00BD7172">
        <w:rPr>
          <w:rFonts w:cs="Arial"/>
          <w:szCs w:val="24"/>
          <w:lang w:eastAsia="en-GB"/>
        </w:rPr>
        <w:t>Central Line insertion is performed in a variety of clinical settings for re</w:t>
      </w:r>
      <w:r w:rsidR="003200DB" w:rsidRPr="00BD7172">
        <w:rPr>
          <w:rFonts w:cs="Arial"/>
          <w:szCs w:val="24"/>
          <w:lang w:eastAsia="en-GB"/>
        </w:rPr>
        <w:t>liable vascular access for</w:t>
      </w:r>
      <w:r w:rsidRPr="00BD7172">
        <w:rPr>
          <w:rFonts w:cs="Arial"/>
          <w:szCs w:val="24"/>
          <w:lang w:eastAsia="en-GB"/>
        </w:rPr>
        <w:t xml:space="preserve"> drug</w:t>
      </w:r>
      <w:r w:rsidR="003200DB" w:rsidRPr="00BD7172">
        <w:rPr>
          <w:rFonts w:cs="Arial"/>
          <w:szCs w:val="24"/>
          <w:lang w:eastAsia="en-GB"/>
        </w:rPr>
        <w:t>, fluid</w:t>
      </w:r>
      <w:r w:rsidRPr="00BD7172">
        <w:rPr>
          <w:rFonts w:cs="Arial"/>
          <w:szCs w:val="24"/>
          <w:lang w:eastAsia="en-GB"/>
        </w:rPr>
        <w:t xml:space="preserve"> and nutrition administration</w:t>
      </w:r>
      <w:r w:rsidR="00BD7172">
        <w:rPr>
          <w:rFonts w:cs="Arial"/>
          <w:szCs w:val="24"/>
          <w:lang w:eastAsia="en-GB"/>
        </w:rPr>
        <w:t>, haemodynamic monitoring</w:t>
      </w:r>
      <w:r w:rsidR="00375D96" w:rsidRPr="00BD7172">
        <w:rPr>
          <w:rFonts w:cs="Arial"/>
          <w:szCs w:val="24"/>
          <w:lang w:eastAsia="en-GB"/>
        </w:rPr>
        <w:t xml:space="preserve"> and extra corporeal blood purification</w:t>
      </w:r>
      <w:r w:rsidR="00BD7172" w:rsidRPr="00BD7172">
        <w:rPr>
          <w:rFonts w:cs="Arial"/>
          <w:szCs w:val="24"/>
          <w:lang w:eastAsia="en-GB"/>
        </w:rPr>
        <w:t>. Insertion is an invasive complex procedure that has immediate and delayed complications. Furthermore the use of any central venous catheter can result in bloodstream infection.</w:t>
      </w:r>
    </w:p>
    <w:p w:rsidR="00BD7172" w:rsidRDefault="00BD7172" w:rsidP="00BD7172">
      <w:pPr>
        <w:autoSpaceDE w:val="0"/>
        <w:autoSpaceDN w:val="0"/>
        <w:adjustRightInd w:val="0"/>
        <w:rPr>
          <w:rFonts w:cs="Arial"/>
          <w:sz w:val="22"/>
          <w:szCs w:val="22"/>
          <w:lang w:eastAsia="en-GB"/>
        </w:rPr>
      </w:pPr>
    </w:p>
    <w:p w:rsidR="00BD7172" w:rsidRDefault="00BD7172" w:rsidP="00BD7172">
      <w:pPr>
        <w:jc w:val="both"/>
        <w:rPr>
          <w:rFonts w:cs="Arial"/>
        </w:rPr>
      </w:pPr>
      <w:r>
        <w:rPr>
          <w:rFonts w:cs="Arial"/>
        </w:rPr>
        <w:t>The aim of this guideline is to minimise</w:t>
      </w:r>
      <w:r w:rsidRPr="00BD7172">
        <w:t xml:space="preserve"> </w:t>
      </w:r>
      <w:r w:rsidRPr="00BD7172">
        <w:rPr>
          <w:rFonts w:cs="Arial"/>
        </w:rPr>
        <w:t>to minimise complications from Central Line insertion, and</w:t>
      </w:r>
      <w:r>
        <w:rPr>
          <w:rFonts w:cs="Arial"/>
        </w:rPr>
        <w:t xml:space="preserve"> </w:t>
      </w:r>
      <w:r w:rsidRPr="00BD7172">
        <w:rPr>
          <w:rFonts w:cs="Arial"/>
        </w:rPr>
        <w:t>reduce Central Line as</w:t>
      </w:r>
      <w:r>
        <w:rPr>
          <w:rFonts w:cs="Arial"/>
        </w:rPr>
        <w:t xml:space="preserve">sociated bloodstream infections (CR-BSI) by suggesting evidence-based strategies for the insertion and </w:t>
      </w:r>
      <w:r w:rsidR="00AF1E74">
        <w:rPr>
          <w:rFonts w:cs="Arial"/>
        </w:rPr>
        <w:t>management of central venous catheter</w:t>
      </w:r>
      <w:r>
        <w:rPr>
          <w:rFonts w:cs="Arial"/>
        </w:rPr>
        <w:t>s.</w:t>
      </w:r>
    </w:p>
    <w:p w:rsidR="00BD7172" w:rsidRDefault="00BD7172" w:rsidP="00BD7172">
      <w:pPr>
        <w:autoSpaceDE w:val="0"/>
        <w:autoSpaceDN w:val="0"/>
        <w:adjustRightInd w:val="0"/>
        <w:rPr>
          <w:rFonts w:cs="Arial"/>
          <w:sz w:val="22"/>
          <w:szCs w:val="22"/>
          <w:lang w:eastAsia="en-GB"/>
        </w:rPr>
      </w:pPr>
    </w:p>
    <w:p w:rsidR="00EF57A1" w:rsidRPr="00BD70B8" w:rsidRDefault="00BD7172" w:rsidP="00F27490">
      <w:pPr>
        <w:autoSpaceDE w:val="0"/>
        <w:autoSpaceDN w:val="0"/>
        <w:adjustRightInd w:val="0"/>
        <w:rPr>
          <w:rFonts w:cs="Arial"/>
          <w:szCs w:val="24"/>
          <w:lang w:eastAsia="en-GB"/>
        </w:rPr>
      </w:pPr>
      <w:r w:rsidRPr="00BD70B8">
        <w:rPr>
          <w:rFonts w:cs="Arial"/>
          <w:szCs w:val="24"/>
          <w:lang w:eastAsia="en-GB"/>
        </w:rPr>
        <w:t>Definition of Central Venous Catheter</w:t>
      </w:r>
    </w:p>
    <w:p w:rsidR="00BD7172" w:rsidRDefault="00BD7172" w:rsidP="00013638">
      <w:pPr>
        <w:jc w:val="both"/>
        <w:rPr>
          <w:rFonts w:cs="Arial"/>
          <w:b/>
        </w:rPr>
      </w:pPr>
    </w:p>
    <w:p w:rsidR="009F09EB" w:rsidRDefault="009F09EB" w:rsidP="00013638">
      <w:pPr>
        <w:jc w:val="both"/>
        <w:rPr>
          <w:rFonts w:cs="Arial"/>
        </w:rPr>
      </w:pPr>
      <w:r>
        <w:rPr>
          <w:rFonts w:cs="Arial"/>
          <w:b/>
        </w:rPr>
        <w:t>Central</w:t>
      </w:r>
      <w:r w:rsidR="00BD7172">
        <w:rPr>
          <w:rFonts w:cs="Arial"/>
          <w:b/>
        </w:rPr>
        <w:t xml:space="preserve"> Venous</w:t>
      </w:r>
      <w:r>
        <w:rPr>
          <w:rFonts w:cs="Arial"/>
          <w:b/>
        </w:rPr>
        <w:t xml:space="preserve"> line (CVC):</w:t>
      </w:r>
      <w:r>
        <w:rPr>
          <w:rFonts w:cs="Arial"/>
        </w:rPr>
        <w:t xml:space="preserve"> An intravascular catheter that terminates at or close to the heart or in one of the great vessels. The following are considered great vessels for the purpose of reporting central-line infections and counting central-line days by the Centers for Disease Control and Infection Prevention (CDC) in the </w:t>
      </w:r>
      <w:smartTag w:uri="urn:schemas-microsoft-com:office:smarttags" w:element="country-region">
        <w:smartTag w:uri="urn:schemas-microsoft-com:office:smarttags" w:element="place">
          <w:r>
            <w:rPr>
              <w:rFonts w:cs="Arial"/>
            </w:rPr>
            <w:t>United States of America</w:t>
          </w:r>
        </w:smartTag>
      </w:smartTag>
      <w:r>
        <w:rPr>
          <w:rFonts w:cs="Arial"/>
        </w:rPr>
        <w:t xml:space="preserve">: Pulmonary artery, superior vena cava, inferior vena cava, brachiocephalic veins, internal jugular veins, subclavian veins, external iliac veins, and common femoral veins. </w:t>
      </w:r>
    </w:p>
    <w:p w:rsidR="009F09EB" w:rsidRDefault="009F09EB" w:rsidP="00013638">
      <w:pPr>
        <w:jc w:val="both"/>
        <w:rPr>
          <w:rFonts w:cs="Arial"/>
        </w:rPr>
      </w:pPr>
    </w:p>
    <w:p w:rsidR="009F09EB" w:rsidRDefault="009F09EB" w:rsidP="00013638">
      <w:pPr>
        <w:jc w:val="both"/>
        <w:rPr>
          <w:rFonts w:cs="Arial"/>
        </w:rPr>
      </w:pPr>
    </w:p>
    <w:p w:rsidR="009F09EB" w:rsidRDefault="009F09EB" w:rsidP="00013638">
      <w:pPr>
        <w:jc w:val="both"/>
        <w:rPr>
          <w:rFonts w:cs="Arial"/>
        </w:rPr>
      </w:pPr>
      <w:r>
        <w:rPr>
          <w:rFonts w:cs="Arial"/>
        </w:rPr>
        <w:t>The guideline is primarily aimed at Critical Care Units but may be equally applicable to ward management where appropriate.</w:t>
      </w:r>
    </w:p>
    <w:p w:rsidR="009F09EB" w:rsidRDefault="009F09EB" w:rsidP="00013638">
      <w:pPr>
        <w:jc w:val="both"/>
        <w:rPr>
          <w:rFonts w:cs="Arial"/>
        </w:rPr>
      </w:pPr>
    </w:p>
    <w:p w:rsidR="009F09EB" w:rsidRDefault="009F09EB" w:rsidP="00013638">
      <w:pPr>
        <w:jc w:val="both"/>
        <w:rPr>
          <w:rFonts w:cs="Arial"/>
        </w:rPr>
      </w:pPr>
      <w:r>
        <w:rPr>
          <w:rFonts w:cs="Arial"/>
        </w:rPr>
        <w:t>For the main part this guideline is based on the central venous catheter section in the Department of Health (UK) commissioned “</w:t>
      </w:r>
      <w:r w:rsidR="00AF1E74">
        <w:rPr>
          <w:rFonts w:cs="Arial"/>
          <w:i/>
        </w:rPr>
        <w:t>epic 3</w:t>
      </w:r>
      <w:r>
        <w:rPr>
          <w:rFonts w:cs="Arial"/>
          <w:i/>
        </w:rPr>
        <w:t>: National Evidence-Based Guidelines for Preventing Healthcare-Associated Infections in NHS Hospitals in England</w:t>
      </w:r>
      <w:r>
        <w:rPr>
          <w:rFonts w:cs="Arial"/>
        </w:rPr>
        <w:t>”</w:t>
      </w:r>
      <w:r>
        <w:rPr>
          <w:rFonts w:cs="Arial"/>
          <w:vertAlign w:val="superscript"/>
        </w:rPr>
        <w:t xml:space="preserve">1 </w:t>
      </w:r>
      <w:r>
        <w:rPr>
          <w:rFonts w:cs="Arial"/>
        </w:rPr>
        <w:t xml:space="preserve">. </w:t>
      </w:r>
    </w:p>
    <w:p w:rsidR="009F09EB" w:rsidRDefault="009F09EB" w:rsidP="00013638">
      <w:pPr>
        <w:jc w:val="both"/>
        <w:rPr>
          <w:rFonts w:cs="Arial"/>
        </w:rPr>
      </w:pPr>
    </w:p>
    <w:p w:rsidR="009F09EB" w:rsidRDefault="009F09EB" w:rsidP="00013638">
      <w:pPr>
        <w:jc w:val="both"/>
        <w:rPr>
          <w:rFonts w:cs="Arial"/>
        </w:rPr>
      </w:pPr>
      <w:r>
        <w:rPr>
          <w:rFonts w:cs="Arial"/>
        </w:rPr>
        <w:t>This work in turn was based upon an expert review of evidence-based guidelines for preventing intravascular device related infections, developed at the Centers for Disease Control and Prevention (CDC) by the Healthcare Infection Control Practices Advisory Committee (HIC</w:t>
      </w:r>
      <w:r w:rsidR="00AF1E74">
        <w:rPr>
          <w:rFonts w:cs="Arial"/>
        </w:rPr>
        <w:t>PAC), which were updated in 2011</w:t>
      </w:r>
      <w:r>
        <w:rPr>
          <w:rFonts w:cs="Arial"/>
        </w:rPr>
        <w:t xml:space="preserve">. </w:t>
      </w:r>
    </w:p>
    <w:p w:rsidR="009F09EB" w:rsidRDefault="009F09EB" w:rsidP="00013638">
      <w:pPr>
        <w:jc w:val="both"/>
        <w:rPr>
          <w:rFonts w:cs="Arial"/>
        </w:rPr>
      </w:pPr>
    </w:p>
    <w:p w:rsidR="009F09EB" w:rsidRDefault="009F09EB" w:rsidP="00013638">
      <w:pPr>
        <w:jc w:val="both"/>
        <w:rPr>
          <w:rFonts w:cs="Arial"/>
        </w:rPr>
      </w:pPr>
      <w:r>
        <w:rPr>
          <w:rFonts w:cs="Arial"/>
        </w:rPr>
        <w:t xml:space="preserve">The DOH (UK) review team concluded that the HIPAC development processes were valid and that the guidelines were “evidence-based, categorised to the strength of the evidence examined, reflective of current </w:t>
      </w:r>
      <w:r>
        <w:rPr>
          <w:rFonts w:cs="Arial"/>
        </w:rPr>
        <w:lastRenderedPageBreak/>
        <w:t xml:space="preserve">concepts of best practice, and acknowledged as the most authoritative reference guidelines currently available.” </w:t>
      </w:r>
    </w:p>
    <w:p w:rsidR="009F09EB" w:rsidRDefault="009F09EB">
      <w:pPr>
        <w:rPr>
          <w:rFonts w:cs="Arial"/>
        </w:rPr>
      </w:pPr>
      <w:r>
        <w:rPr>
          <w:rFonts w:cs="Arial"/>
        </w:rPr>
        <w:br w:type="page"/>
      </w:r>
    </w:p>
    <w:p w:rsidR="009F09EB" w:rsidRDefault="009F09EB">
      <w:pPr>
        <w:jc w:val="center"/>
        <w:rPr>
          <w:rFonts w:cs="Arial"/>
          <w:b/>
          <w:sz w:val="28"/>
          <w:szCs w:val="28"/>
        </w:rPr>
      </w:pPr>
      <w:r>
        <w:rPr>
          <w:rFonts w:cs="Arial"/>
          <w:b/>
          <w:sz w:val="28"/>
          <w:szCs w:val="28"/>
        </w:rPr>
        <w:lastRenderedPageBreak/>
        <w:t>Recommendations</w:t>
      </w:r>
    </w:p>
    <w:p w:rsidR="009F09EB" w:rsidRDefault="009F09EB">
      <w:pPr>
        <w:jc w:val="center"/>
        <w:rPr>
          <w:rFonts w:cs="Arial"/>
          <w:b/>
          <w:sz w:val="28"/>
          <w:szCs w:val="28"/>
        </w:rPr>
      </w:pPr>
    </w:p>
    <w:p w:rsidR="009F09EB" w:rsidRDefault="009F09EB">
      <w:pPr>
        <w:rPr>
          <w:rFonts w:cs="Arial"/>
        </w:rPr>
      </w:pPr>
    </w:p>
    <w:p w:rsidR="00567989" w:rsidRDefault="00567989" w:rsidP="00567989">
      <w:pPr>
        <w:rPr>
          <w:rFonts w:cs="Arial"/>
        </w:rPr>
      </w:pPr>
      <w:r w:rsidRPr="00567989">
        <w:rPr>
          <w:rFonts w:cs="Arial"/>
        </w:rPr>
        <w:t xml:space="preserve">These recommendations describe general principles of best practice that apply to all adult patients in hospital in </w:t>
      </w:r>
      <w:r w:rsidR="0068531F">
        <w:rPr>
          <w:rFonts w:cs="Arial"/>
        </w:rPr>
        <w:t>whom a central</w:t>
      </w:r>
      <w:r w:rsidRPr="00567989">
        <w:rPr>
          <w:rFonts w:cs="Arial"/>
        </w:rPr>
        <w:t xml:space="preserve"> intravascular catheter is being used during an acute episode of treatment/care. They do not address the aspects of the care of infants or children or adults receiving chronic haemodialysis or chemotherapy who will generally have long-term intravascular catheters managed in renal dialysis or outpatient settings.</w:t>
      </w:r>
    </w:p>
    <w:p w:rsidR="00567989" w:rsidRDefault="00567989" w:rsidP="00567989">
      <w:pPr>
        <w:rPr>
          <w:rFonts w:cs="Arial"/>
        </w:rPr>
      </w:pPr>
    </w:p>
    <w:p w:rsidR="00B146C1" w:rsidRDefault="00B146C1" w:rsidP="00B146C1">
      <w:pPr>
        <w:jc w:val="both"/>
        <w:rPr>
          <w:rFonts w:cs="Arial"/>
          <w:b/>
        </w:rPr>
      </w:pPr>
      <w:r w:rsidRPr="00B146C1">
        <w:rPr>
          <w:rFonts w:cs="Arial"/>
          <w:b/>
        </w:rPr>
        <w:t>Education</w:t>
      </w:r>
    </w:p>
    <w:p w:rsidR="00B146C1" w:rsidRDefault="00B146C1" w:rsidP="00B146C1">
      <w:pPr>
        <w:jc w:val="both"/>
        <w:rPr>
          <w:rFonts w:cs="Arial"/>
          <w:b/>
        </w:rPr>
      </w:pPr>
    </w:p>
    <w:p w:rsidR="00B146C1" w:rsidRPr="00B146C1" w:rsidRDefault="00B146C1" w:rsidP="00B146C1">
      <w:pPr>
        <w:jc w:val="both"/>
        <w:rPr>
          <w:rFonts w:cs="Arial"/>
        </w:rPr>
      </w:pPr>
      <w:r w:rsidRPr="00B146C1">
        <w:rPr>
          <w:rFonts w:cs="Arial"/>
        </w:rPr>
        <w:t>To improve patient outcomes and reduce healthcare costs, it is essential that everyone involved in caring for patients with intravascular catheters is educated about infection prevention.</w:t>
      </w:r>
    </w:p>
    <w:p w:rsidR="00B146C1" w:rsidRDefault="00B146C1" w:rsidP="00B146C1">
      <w:pPr>
        <w:rPr>
          <w:rFonts w:cs="Arial"/>
        </w:rPr>
      </w:pPr>
    </w:p>
    <w:p w:rsidR="00B146C1" w:rsidRDefault="00B146C1" w:rsidP="00B146C1">
      <w:pPr>
        <w:pStyle w:val="ListParagraph"/>
        <w:numPr>
          <w:ilvl w:val="0"/>
          <w:numId w:val="43"/>
        </w:numPr>
        <w:rPr>
          <w:rFonts w:cs="Arial"/>
        </w:rPr>
      </w:pPr>
      <w:r w:rsidRPr="00B146C1">
        <w:rPr>
          <w:rFonts w:cs="Arial"/>
        </w:rPr>
        <w:t>Healthcare workers caring for patients with intravascular catheters should</w:t>
      </w:r>
      <w:r>
        <w:rPr>
          <w:rFonts w:cs="Arial"/>
        </w:rPr>
        <w:t xml:space="preserve"> </w:t>
      </w:r>
      <w:r w:rsidRPr="00B146C1">
        <w:rPr>
          <w:rFonts w:cs="Arial"/>
        </w:rPr>
        <w:t xml:space="preserve">be trained and assessed as competent in using and consistently adhering to practices for the prevention of catheter-related bloodstream infection. </w:t>
      </w:r>
    </w:p>
    <w:p w:rsidR="00B146C1" w:rsidRPr="00B146C1" w:rsidRDefault="00B146C1" w:rsidP="00B146C1">
      <w:pPr>
        <w:rPr>
          <w:rFonts w:cs="Arial"/>
        </w:rPr>
      </w:pPr>
    </w:p>
    <w:p w:rsidR="00B146C1" w:rsidRDefault="00B146C1" w:rsidP="00B146C1">
      <w:pPr>
        <w:pStyle w:val="ListParagraph"/>
        <w:numPr>
          <w:ilvl w:val="0"/>
          <w:numId w:val="43"/>
        </w:numPr>
        <w:rPr>
          <w:rFonts w:cs="Arial"/>
        </w:rPr>
      </w:pPr>
      <w:r w:rsidRPr="00B146C1">
        <w:rPr>
          <w:rFonts w:cs="Arial"/>
        </w:rPr>
        <w:t>Healthcare workers should be aware</w:t>
      </w:r>
      <w:r>
        <w:rPr>
          <w:rFonts w:cs="Arial"/>
        </w:rPr>
        <w:t xml:space="preserve"> </w:t>
      </w:r>
      <w:r w:rsidRPr="00B146C1">
        <w:rPr>
          <w:rFonts w:cs="Arial"/>
        </w:rPr>
        <w:t>of the manufacturer’s advice relating</w:t>
      </w:r>
      <w:r>
        <w:rPr>
          <w:rFonts w:cs="Arial"/>
        </w:rPr>
        <w:t xml:space="preserve"> </w:t>
      </w:r>
      <w:r w:rsidRPr="00B146C1">
        <w:rPr>
          <w:rFonts w:cs="Arial"/>
        </w:rPr>
        <w:t>to individual catheters, connection</w:t>
      </w:r>
      <w:r>
        <w:rPr>
          <w:rFonts w:cs="Arial"/>
        </w:rPr>
        <w:t xml:space="preserve"> </w:t>
      </w:r>
      <w:r w:rsidRPr="00B146C1">
        <w:rPr>
          <w:rFonts w:cs="Arial"/>
        </w:rPr>
        <w:t>and administration set dwell time and</w:t>
      </w:r>
      <w:r>
        <w:rPr>
          <w:rFonts w:cs="Arial"/>
        </w:rPr>
        <w:t xml:space="preserve"> </w:t>
      </w:r>
      <w:r w:rsidRPr="00B146C1">
        <w:rPr>
          <w:rFonts w:cs="Arial"/>
        </w:rPr>
        <w:t>compatibility with antiseptics and</w:t>
      </w:r>
      <w:r>
        <w:rPr>
          <w:rFonts w:cs="Arial"/>
        </w:rPr>
        <w:t xml:space="preserve"> </w:t>
      </w:r>
      <w:r w:rsidRPr="00B146C1">
        <w:rPr>
          <w:rFonts w:cs="Arial"/>
        </w:rPr>
        <w:t>other fluids to ensure the safe use of devices.</w:t>
      </w:r>
    </w:p>
    <w:p w:rsidR="00B146C1" w:rsidRPr="00B146C1" w:rsidRDefault="00B146C1" w:rsidP="00B146C1">
      <w:pPr>
        <w:pStyle w:val="ListParagraph"/>
        <w:rPr>
          <w:rFonts w:cs="Arial"/>
        </w:rPr>
      </w:pPr>
    </w:p>
    <w:p w:rsidR="00B146C1" w:rsidRPr="00B146C1" w:rsidRDefault="00B146C1" w:rsidP="00B146C1">
      <w:pPr>
        <w:pStyle w:val="ListParagraph"/>
        <w:numPr>
          <w:ilvl w:val="0"/>
          <w:numId w:val="43"/>
        </w:numPr>
        <w:rPr>
          <w:rFonts w:cs="Arial"/>
        </w:rPr>
      </w:pPr>
      <w:r w:rsidRPr="00B146C1">
        <w:rPr>
          <w:rFonts w:cs="Arial"/>
        </w:rPr>
        <w:t>Before discharge from hospital,</w:t>
      </w:r>
      <w:r>
        <w:rPr>
          <w:rFonts w:cs="Arial"/>
        </w:rPr>
        <w:t xml:space="preserve"> </w:t>
      </w:r>
      <w:r w:rsidRPr="00B146C1">
        <w:rPr>
          <w:rFonts w:cs="Arial"/>
        </w:rPr>
        <w:t>patients with intravascular catheters</w:t>
      </w:r>
      <w:r>
        <w:rPr>
          <w:rFonts w:cs="Arial"/>
        </w:rPr>
        <w:t xml:space="preserve"> </w:t>
      </w:r>
      <w:r w:rsidRPr="00B146C1">
        <w:rPr>
          <w:rFonts w:cs="Arial"/>
        </w:rPr>
        <w:t>and their carers should be taught any</w:t>
      </w:r>
      <w:r>
        <w:rPr>
          <w:rFonts w:cs="Arial"/>
        </w:rPr>
        <w:t xml:space="preserve"> </w:t>
      </w:r>
      <w:r w:rsidRPr="00B146C1">
        <w:rPr>
          <w:rFonts w:cs="Arial"/>
        </w:rPr>
        <w:t>techniques they may need to use to</w:t>
      </w:r>
      <w:r>
        <w:rPr>
          <w:rFonts w:cs="Arial"/>
        </w:rPr>
        <w:t xml:space="preserve"> </w:t>
      </w:r>
      <w:r w:rsidRPr="00B146C1">
        <w:rPr>
          <w:rFonts w:cs="Arial"/>
        </w:rPr>
        <w:t>prevent infection and manage their device.</w:t>
      </w:r>
    </w:p>
    <w:p w:rsidR="009F09EB" w:rsidRDefault="009F09EB" w:rsidP="00013638">
      <w:pPr>
        <w:jc w:val="both"/>
        <w:rPr>
          <w:rFonts w:cs="Arial"/>
        </w:rPr>
      </w:pPr>
    </w:p>
    <w:p w:rsidR="009F09EB" w:rsidRDefault="009F09EB" w:rsidP="00013638">
      <w:pPr>
        <w:jc w:val="both"/>
        <w:rPr>
          <w:rFonts w:cs="Arial"/>
        </w:rPr>
      </w:pPr>
    </w:p>
    <w:p w:rsidR="009F09EB" w:rsidRDefault="009F09EB" w:rsidP="00013638">
      <w:pPr>
        <w:jc w:val="both"/>
        <w:rPr>
          <w:rFonts w:cs="Arial"/>
          <w:b/>
        </w:rPr>
      </w:pPr>
      <w:r>
        <w:rPr>
          <w:rFonts w:cs="Arial"/>
          <w:b/>
        </w:rPr>
        <w:t>General Asepsis</w:t>
      </w:r>
    </w:p>
    <w:p w:rsidR="009F09EB" w:rsidRDefault="009F09EB" w:rsidP="00013638">
      <w:pPr>
        <w:jc w:val="both"/>
        <w:rPr>
          <w:rFonts w:cs="Arial"/>
        </w:rPr>
      </w:pPr>
    </w:p>
    <w:p w:rsidR="009F09EB" w:rsidRDefault="00B7551D" w:rsidP="00013638">
      <w:pPr>
        <w:numPr>
          <w:ilvl w:val="0"/>
          <w:numId w:val="23"/>
        </w:numPr>
        <w:jc w:val="both"/>
        <w:rPr>
          <w:rFonts w:cs="Arial"/>
        </w:rPr>
      </w:pPr>
      <w:r>
        <w:rPr>
          <w:rFonts w:cs="Arial"/>
        </w:rPr>
        <w:t>A full</w:t>
      </w:r>
      <w:r w:rsidR="009F09EB">
        <w:rPr>
          <w:rFonts w:cs="Arial"/>
        </w:rPr>
        <w:t xml:space="preserve"> aseptic technique must be used for catheter insertion, catheter site care and for accessing the system</w:t>
      </w:r>
    </w:p>
    <w:p w:rsidR="009F09EB" w:rsidRDefault="009F09EB" w:rsidP="00013638">
      <w:pPr>
        <w:jc w:val="both"/>
        <w:rPr>
          <w:rFonts w:cs="Arial"/>
        </w:rPr>
      </w:pPr>
    </w:p>
    <w:p w:rsidR="009F09EB" w:rsidRDefault="009F09EB" w:rsidP="00013638">
      <w:pPr>
        <w:numPr>
          <w:ilvl w:val="0"/>
          <w:numId w:val="23"/>
        </w:numPr>
        <w:jc w:val="both"/>
        <w:rPr>
          <w:rFonts w:cs="Arial"/>
        </w:rPr>
      </w:pPr>
      <w:r>
        <w:rPr>
          <w:rFonts w:cs="Arial"/>
        </w:rPr>
        <w:t>Before accessing or dressing a central venous access device, hands must be decontaminated either by washing with an antimicrobial liquid, soap and water, or by using an alcohol hand rub.</w:t>
      </w:r>
    </w:p>
    <w:p w:rsidR="009F09EB" w:rsidRDefault="009F09EB" w:rsidP="00013638">
      <w:pPr>
        <w:jc w:val="both"/>
        <w:rPr>
          <w:rFonts w:cs="Arial"/>
        </w:rPr>
      </w:pPr>
    </w:p>
    <w:p w:rsidR="009F09EB" w:rsidRDefault="009F09EB" w:rsidP="00013638">
      <w:pPr>
        <w:numPr>
          <w:ilvl w:val="0"/>
          <w:numId w:val="23"/>
        </w:numPr>
        <w:jc w:val="both"/>
        <w:rPr>
          <w:rFonts w:cs="Arial"/>
        </w:rPr>
      </w:pPr>
      <w:r>
        <w:rPr>
          <w:rFonts w:cs="Arial"/>
        </w:rPr>
        <w:t>Hands that are visibly soiled or contaminated with dirt or organic material must be washed with liquid soap and water before using an alcohol hand rub.</w:t>
      </w:r>
    </w:p>
    <w:p w:rsidR="009F09EB" w:rsidRDefault="009F09EB" w:rsidP="00013638">
      <w:pPr>
        <w:jc w:val="both"/>
        <w:rPr>
          <w:rFonts w:cs="Arial"/>
        </w:rPr>
      </w:pPr>
    </w:p>
    <w:p w:rsidR="009F09EB" w:rsidRDefault="009F09EB" w:rsidP="00013638">
      <w:pPr>
        <w:numPr>
          <w:ilvl w:val="0"/>
          <w:numId w:val="23"/>
        </w:numPr>
        <w:jc w:val="both"/>
        <w:rPr>
          <w:rFonts w:cs="Arial"/>
        </w:rPr>
      </w:pPr>
      <w:r>
        <w:rPr>
          <w:rFonts w:cs="Arial"/>
        </w:rPr>
        <w:t>Following hand antisepsis, clean gloves and a</w:t>
      </w:r>
      <w:r w:rsidR="00B7551D">
        <w:rPr>
          <w:rFonts w:cs="Arial"/>
        </w:rPr>
        <w:t>n aseptic</w:t>
      </w:r>
      <w:r>
        <w:rPr>
          <w:rFonts w:cs="Arial"/>
        </w:rPr>
        <w:t xml:space="preserve"> non-touch technique</w:t>
      </w:r>
      <w:r w:rsidR="00B7551D">
        <w:rPr>
          <w:rFonts w:cs="Arial"/>
        </w:rPr>
        <w:t xml:space="preserve"> (ANTT)</w:t>
      </w:r>
      <w:r>
        <w:rPr>
          <w:rFonts w:cs="Arial"/>
        </w:rPr>
        <w:t>, or sterile gloves should be used when cleaning the insertion site dressing, line manipulation or intravenous drug administration.</w:t>
      </w:r>
    </w:p>
    <w:p w:rsidR="009F09EB" w:rsidRDefault="009F09EB" w:rsidP="00013638">
      <w:pPr>
        <w:jc w:val="both"/>
        <w:rPr>
          <w:rFonts w:cs="Arial"/>
        </w:rPr>
      </w:pPr>
    </w:p>
    <w:p w:rsidR="009F09EB" w:rsidRPr="00B146C1" w:rsidRDefault="009F09EB" w:rsidP="00B146C1">
      <w:pPr>
        <w:rPr>
          <w:rFonts w:cs="Arial"/>
        </w:rPr>
      </w:pPr>
      <w:r w:rsidRPr="00B146C1">
        <w:rPr>
          <w:rFonts w:cs="Arial"/>
        </w:rPr>
        <w:br w:type="page"/>
      </w:r>
      <w:r w:rsidRPr="00B146C1">
        <w:rPr>
          <w:rFonts w:cs="Arial"/>
          <w:b/>
        </w:rPr>
        <w:lastRenderedPageBreak/>
        <w:t>Central Venous Catheter Insertion</w:t>
      </w:r>
    </w:p>
    <w:p w:rsidR="009F09EB" w:rsidRDefault="009F09EB">
      <w:pPr>
        <w:rPr>
          <w:rFonts w:cs="Arial"/>
          <w:b/>
        </w:rPr>
      </w:pPr>
    </w:p>
    <w:p w:rsidR="00D61AAC" w:rsidRDefault="00D61AAC" w:rsidP="00D61AAC">
      <w:pPr>
        <w:ind w:left="720"/>
        <w:jc w:val="both"/>
        <w:rPr>
          <w:rFonts w:cs="Arial"/>
        </w:rPr>
      </w:pPr>
      <w:r w:rsidRPr="00D61AAC">
        <w:rPr>
          <w:rFonts w:cs="Arial"/>
        </w:rPr>
        <w:t>A Central</w:t>
      </w:r>
      <w:r>
        <w:rPr>
          <w:rFonts w:cs="Arial"/>
        </w:rPr>
        <w:t xml:space="preserve"> venous catheter</w:t>
      </w:r>
      <w:r w:rsidRPr="00D61AAC">
        <w:rPr>
          <w:rFonts w:cs="Arial"/>
        </w:rPr>
        <w:t xml:space="preserve"> should only be inserted when there is a clear indication for its use and when</w:t>
      </w:r>
      <w:r>
        <w:rPr>
          <w:rFonts w:cs="Arial"/>
        </w:rPr>
        <w:t xml:space="preserve"> </w:t>
      </w:r>
      <w:r w:rsidRPr="00D61AAC">
        <w:rPr>
          <w:rFonts w:cs="Arial"/>
        </w:rPr>
        <w:t>the ben</w:t>
      </w:r>
      <w:r>
        <w:rPr>
          <w:rFonts w:cs="Arial"/>
        </w:rPr>
        <w:t>efits obtained from central</w:t>
      </w:r>
      <w:r w:rsidRPr="00D61AAC">
        <w:rPr>
          <w:rFonts w:cs="Arial"/>
        </w:rPr>
        <w:t xml:space="preserve"> access outweighs the risks of insertion</w:t>
      </w:r>
      <w:r>
        <w:rPr>
          <w:rFonts w:cs="Arial"/>
        </w:rPr>
        <w:t xml:space="preserve"> and </w:t>
      </w:r>
      <w:r w:rsidRPr="00D61AAC">
        <w:rPr>
          <w:rFonts w:cs="Arial"/>
        </w:rPr>
        <w:t>should only be done in areas with adequate physical conditions,</w:t>
      </w:r>
      <w:r>
        <w:rPr>
          <w:rFonts w:cs="Arial"/>
        </w:rPr>
        <w:t xml:space="preserve"> </w:t>
      </w:r>
      <w:r w:rsidRPr="00D61AAC">
        <w:rPr>
          <w:rFonts w:cs="Arial"/>
        </w:rPr>
        <w:t>equipment, monitoring and trained assistance.</w:t>
      </w:r>
    </w:p>
    <w:p w:rsidR="00D61AAC" w:rsidRDefault="00D61AAC" w:rsidP="00D61AAC">
      <w:pPr>
        <w:ind w:left="720"/>
        <w:jc w:val="both"/>
        <w:rPr>
          <w:rFonts w:cs="Arial"/>
        </w:rPr>
      </w:pPr>
    </w:p>
    <w:p w:rsidR="00D61AAC" w:rsidRDefault="00D61AAC" w:rsidP="00D61AAC">
      <w:pPr>
        <w:autoSpaceDE w:val="0"/>
        <w:autoSpaceDN w:val="0"/>
        <w:adjustRightInd w:val="0"/>
        <w:ind w:left="720"/>
        <w:rPr>
          <w:rFonts w:cs="Arial"/>
          <w:sz w:val="22"/>
          <w:szCs w:val="22"/>
          <w:lang w:eastAsia="en-GB"/>
        </w:rPr>
      </w:pPr>
      <w:r w:rsidRPr="00C909AD">
        <w:t>CVC lines should be inserted by suitably trained and/or supervised staff</w:t>
      </w:r>
      <w:r>
        <w:t xml:space="preserve">. </w:t>
      </w:r>
      <w:r>
        <w:rPr>
          <w:rFonts w:cs="Arial"/>
          <w:sz w:val="22"/>
          <w:szCs w:val="22"/>
          <w:lang w:eastAsia="en-GB"/>
        </w:rPr>
        <w:t xml:space="preserve">Clinicians without prior experience of Central Line insertion should complete a training program. </w:t>
      </w:r>
    </w:p>
    <w:p w:rsidR="00D61AAC" w:rsidRDefault="00D61AAC" w:rsidP="00D61AAC">
      <w:pPr>
        <w:autoSpaceDE w:val="0"/>
        <w:autoSpaceDN w:val="0"/>
        <w:adjustRightInd w:val="0"/>
        <w:ind w:left="720"/>
        <w:rPr>
          <w:rFonts w:cs="Arial"/>
          <w:sz w:val="22"/>
          <w:szCs w:val="22"/>
          <w:lang w:eastAsia="en-GB"/>
        </w:rPr>
      </w:pPr>
    </w:p>
    <w:p w:rsidR="00D61AAC" w:rsidRDefault="00D61AAC" w:rsidP="00D61AAC">
      <w:pPr>
        <w:autoSpaceDE w:val="0"/>
        <w:autoSpaceDN w:val="0"/>
        <w:adjustRightInd w:val="0"/>
        <w:ind w:left="720"/>
      </w:pPr>
      <w:r>
        <w:rPr>
          <w:rFonts w:cs="Arial"/>
          <w:sz w:val="22"/>
          <w:szCs w:val="22"/>
          <w:lang w:eastAsia="en-GB"/>
        </w:rPr>
        <w:t xml:space="preserve">Consent should be obtained prior to insertion. </w:t>
      </w:r>
      <w:r w:rsidRPr="00C909AD">
        <w:t xml:space="preserve">In the unconscious patient </w:t>
      </w:r>
      <w:r>
        <w:t xml:space="preserve">or emergency situation </w:t>
      </w:r>
      <w:r w:rsidRPr="00C909AD">
        <w:t>CVC lines are often inserted in the patients’ best interests. In the conscious patient the referring team should document the discussion of indication with the patient. In addition the clinician responsible for insertion should gain fully informed procedure consent.</w:t>
      </w:r>
    </w:p>
    <w:p w:rsidR="00C526E3" w:rsidRDefault="00C526E3" w:rsidP="00D61AAC">
      <w:pPr>
        <w:autoSpaceDE w:val="0"/>
        <w:autoSpaceDN w:val="0"/>
        <w:adjustRightInd w:val="0"/>
        <w:ind w:left="720"/>
      </w:pPr>
    </w:p>
    <w:p w:rsidR="00C526E3" w:rsidRPr="00C526E3" w:rsidRDefault="00C526E3" w:rsidP="00C526E3">
      <w:pPr>
        <w:autoSpaceDE w:val="0"/>
        <w:autoSpaceDN w:val="0"/>
        <w:adjustRightInd w:val="0"/>
        <w:rPr>
          <w:rFonts w:cs="Arial"/>
          <w:b/>
          <w:sz w:val="22"/>
          <w:szCs w:val="22"/>
          <w:lang w:eastAsia="en-GB"/>
        </w:rPr>
      </w:pPr>
      <w:r w:rsidRPr="00C526E3">
        <w:rPr>
          <w:b/>
        </w:rPr>
        <w:t>Insertion Procedure</w:t>
      </w:r>
      <w:r w:rsidRPr="00C526E3">
        <w:rPr>
          <w:b/>
        </w:rPr>
        <w:tab/>
      </w:r>
      <w:r w:rsidR="00346645">
        <w:rPr>
          <w:b/>
        </w:rPr>
        <w:t>(</w:t>
      </w:r>
      <w:r w:rsidR="00F46B51">
        <w:rPr>
          <w:b/>
        </w:rPr>
        <w:t xml:space="preserve"> See </w:t>
      </w:r>
      <w:r w:rsidR="00346645">
        <w:rPr>
          <w:b/>
        </w:rPr>
        <w:t>Appendix 1)</w:t>
      </w:r>
      <w:r w:rsidRPr="00C526E3">
        <w:rPr>
          <w:b/>
        </w:rPr>
        <w:tab/>
      </w:r>
    </w:p>
    <w:p w:rsidR="00D61AAC" w:rsidRDefault="00D61AAC" w:rsidP="00D61AAC">
      <w:pPr>
        <w:ind w:left="360"/>
        <w:jc w:val="both"/>
        <w:rPr>
          <w:rFonts w:cs="Arial"/>
        </w:rPr>
      </w:pPr>
    </w:p>
    <w:p w:rsidR="009F09EB" w:rsidRPr="00D61AAC" w:rsidRDefault="00C526E3" w:rsidP="00D61AAC">
      <w:pPr>
        <w:numPr>
          <w:ilvl w:val="0"/>
          <w:numId w:val="24"/>
        </w:numPr>
        <w:jc w:val="both"/>
        <w:rPr>
          <w:rFonts w:cs="Arial"/>
        </w:rPr>
      </w:pPr>
      <w:r w:rsidRPr="00C909AD">
        <w:t>Strict</w:t>
      </w:r>
      <w:r w:rsidR="00B7551D">
        <w:t xml:space="preserve"> full</w:t>
      </w:r>
      <w:r w:rsidRPr="00C909AD">
        <w:t xml:space="preserve"> aseptic technique should be adhered to for line insertion. </w:t>
      </w:r>
      <w:r w:rsidR="009F09EB" w:rsidRPr="00D61AAC">
        <w:rPr>
          <w:rFonts w:cs="Arial"/>
        </w:rPr>
        <w:t>Wash hands using an antiseptic hand wash preparation.</w:t>
      </w:r>
    </w:p>
    <w:p w:rsidR="009F09EB" w:rsidRDefault="009F09EB" w:rsidP="00013638">
      <w:pPr>
        <w:jc w:val="both"/>
        <w:rPr>
          <w:rFonts w:cs="Arial"/>
        </w:rPr>
      </w:pPr>
    </w:p>
    <w:p w:rsidR="009F09EB" w:rsidRDefault="009F09EB" w:rsidP="00013638">
      <w:pPr>
        <w:numPr>
          <w:ilvl w:val="0"/>
          <w:numId w:val="24"/>
        </w:numPr>
        <w:jc w:val="both"/>
        <w:rPr>
          <w:rFonts w:cs="Arial"/>
        </w:rPr>
      </w:pPr>
      <w:r>
        <w:rPr>
          <w:rFonts w:cs="Arial"/>
        </w:rPr>
        <w:t>Decontaminate the skin with alcoholic chlorhexidine gluconate solution (Chloraprep - chlorhexidine gluconate 2% and 70% isopropyl alcohol).</w:t>
      </w:r>
    </w:p>
    <w:p w:rsidR="009F09EB" w:rsidRDefault="009F09EB" w:rsidP="00013638">
      <w:pPr>
        <w:jc w:val="both"/>
        <w:rPr>
          <w:rFonts w:cs="Arial"/>
        </w:rPr>
      </w:pPr>
    </w:p>
    <w:p w:rsidR="009F09EB" w:rsidRDefault="009F09EB" w:rsidP="00013638">
      <w:pPr>
        <w:numPr>
          <w:ilvl w:val="0"/>
          <w:numId w:val="24"/>
        </w:numPr>
        <w:jc w:val="both"/>
        <w:rPr>
          <w:rFonts w:cs="Arial"/>
        </w:rPr>
      </w:pPr>
      <w:r>
        <w:rPr>
          <w:rFonts w:cs="Arial"/>
        </w:rPr>
        <w:t>Use alcoholic povidone-iodine solution for patients with a history of chlorhexidine sensitivity.</w:t>
      </w:r>
    </w:p>
    <w:p w:rsidR="009F09EB" w:rsidRDefault="009F09EB" w:rsidP="00013638">
      <w:pPr>
        <w:jc w:val="both"/>
        <w:rPr>
          <w:rFonts w:cs="Arial"/>
        </w:rPr>
      </w:pPr>
    </w:p>
    <w:p w:rsidR="009F09EB" w:rsidRDefault="009F09EB" w:rsidP="00013638">
      <w:pPr>
        <w:numPr>
          <w:ilvl w:val="0"/>
          <w:numId w:val="24"/>
        </w:numPr>
        <w:jc w:val="both"/>
        <w:rPr>
          <w:rFonts w:cs="Arial"/>
        </w:rPr>
      </w:pPr>
      <w:r>
        <w:rPr>
          <w:rFonts w:cs="Arial"/>
        </w:rPr>
        <w:t>Allow the antiseptic to dry before inserting the central venous access device.</w:t>
      </w:r>
    </w:p>
    <w:p w:rsidR="009F09EB" w:rsidRDefault="009F09EB" w:rsidP="00013638">
      <w:pPr>
        <w:jc w:val="both"/>
        <w:rPr>
          <w:rFonts w:cs="Arial"/>
        </w:rPr>
      </w:pPr>
    </w:p>
    <w:p w:rsidR="009F09EB" w:rsidRDefault="009F09EB" w:rsidP="00013638">
      <w:pPr>
        <w:numPr>
          <w:ilvl w:val="0"/>
          <w:numId w:val="24"/>
        </w:numPr>
        <w:jc w:val="both"/>
        <w:rPr>
          <w:rFonts w:cs="Arial"/>
        </w:rPr>
      </w:pPr>
      <w:r>
        <w:rPr>
          <w:rFonts w:cs="Arial"/>
        </w:rPr>
        <w:t>Do not apply organic solvents, (e.g., acetone, ether) to the skin before the insertion of a central venous access device.</w:t>
      </w:r>
    </w:p>
    <w:p w:rsidR="009F09EB" w:rsidRDefault="009F09EB" w:rsidP="00013638">
      <w:pPr>
        <w:jc w:val="both"/>
        <w:rPr>
          <w:rFonts w:cs="Arial"/>
        </w:rPr>
      </w:pPr>
    </w:p>
    <w:p w:rsidR="009F09EB" w:rsidRDefault="009F09EB" w:rsidP="00013638">
      <w:pPr>
        <w:numPr>
          <w:ilvl w:val="0"/>
          <w:numId w:val="24"/>
        </w:numPr>
        <w:jc w:val="both"/>
        <w:rPr>
          <w:rFonts w:cs="Arial"/>
        </w:rPr>
      </w:pPr>
      <w:r>
        <w:rPr>
          <w:rFonts w:cs="Arial"/>
        </w:rPr>
        <w:t>Do not routinely apply antimicrobial ointment to the catheter placement site prior to insertion.</w:t>
      </w:r>
    </w:p>
    <w:p w:rsidR="009F09EB" w:rsidRDefault="009F09EB" w:rsidP="00013638">
      <w:pPr>
        <w:jc w:val="both"/>
        <w:rPr>
          <w:rFonts w:cs="Arial"/>
        </w:rPr>
      </w:pPr>
    </w:p>
    <w:p w:rsidR="009F09EB" w:rsidRDefault="009F09EB" w:rsidP="00013638">
      <w:pPr>
        <w:numPr>
          <w:ilvl w:val="0"/>
          <w:numId w:val="24"/>
        </w:numPr>
        <w:jc w:val="both"/>
        <w:rPr>
          <w:rFonts w:cs="Arial"/>
        </w:rPr>
      </w:pPr>
      <w:r>
        <w:rPr>
          <w:rFonts w:cs="Arial"/>
        </w:rPr>
        <w:t>Use maximal sterile barriers, including a sterile gown, gloves, mask and a large sterile drape, for the insertion of central venous catheters.</w:t>
      </w:r>
    </w:p>
    <w:p w:rsidR="00BD70B8" w:rsidRDefault="00BD70B8" w:rsidP="00BD70B8">
      <w:pPr>
        <w:pStyle w:val="ListParagraph"/>
        <w:rPr>
          <w:rFonts w:cs="Arial"/>
        </w:rPr>
      </w:pPr>
    </w:p>
    <w:p w:rsidR="00BD70B8" w:rsidRPr="00BD70B8" w:rsidRDefault="00BD70B8" w:rsidP="00BD70B8">
      <w:pPr>
        <w:numPr>
          <w:ilvl w:val="0"/>
          <w:numId w:val="24"/>
        </w:numPr>
        <w:jc w:val="both"/>
        <w:rPr>
          <w:rFonts w:cs="Arial"/>
        </w:rPr>
      </w:pPr>
      <w:r w:rsidRPr="00BD70B8">
        <w:rPr>
          <w:rFonts w:cs="Arial"/>
        </w:rPr>
        <w:t>Ultrasound should be available, and its use considered, for Central Line insertions especially for</w:t>
      </w:r>
      <w:r>
        <w:rPr>
          <w:rFonts w:cs="Arial"/>
        </w:rPr>
        <w:t xml:space="preserve"> internal jugular and femoral insertions.</w:t>
      </w:r>
    </w:p>
    <w:p w:rsidR="00BD70B8" w:rsidRDefault="00BD70B8" w:rsidP="00BD70B8">
      <w:pPr>
        <w:ind w:left="720"/>
        <w:jc w:val="both"/>
        <w:rPr>
          <w:rFonts w:cs="Arial"/>
        </w:rPr>
      </w:pPr>
      <w:r w:rsidRPr="00BD70B8">
        <w:rPr>
          <w:rFonts w:cs="Arial"/>
        </w:rPr>
        <w:t>Previous experience or training is required to use this technology effectively.</w:t>
      </w:r>
    </w:p>
    <w:p w:rsidR="009F09EB" w:rsidRDefault="009F09EB" w:rsidP="00013638">
      <w:pPr>
        <w:jc w:val="both"/>
        <w:rPr>
          <w:rFonts w:cs="Arial"/>
        </w:rPr>
      </w:pPr>
    </w:p>
    <w:p w:rsidR="009F09EB" w:rsidRDefault="009F09EB" w:rsidP="00013638">
      <w:pPr>
        <w:numPr>
          <w:ilvl w:val="0"/>
          <w:numId w:val="24"/>
        </w:numPr>
        <w:jc w:val="both"/>
        <w:rPr>
          <w:rFonts w:cs="Arial"/>
        </w:rPr>
      </w:pPr>
      <w:r>
        <w:rPr>
          <w:rFonts w:cs="Arial"/>
        </w:rPr>
        <w:t xml:space="preserve">Leave the site clean and dry after insertion. </w:t>
      </w:r>
    </w:p>
    <w:p w:rsidR="009F09EB" w:rsidRDefault="009F09EB" w:rsidP="00013638">
      <w:pPr>
        <w:jc w:val="both"/>
        <w:rPr>
          <w:rFonts w:cs="Arial"/>
        </w:rPr>
      </w:pPr>
    </w:p>
    <w:p w:rsidR="009F09EB" w:rsidRDefault="009F09EB" w:rsidP="00013638">
      <w:pPr>
        <w:numPr>
          <w:ilvl w:val="0"/>
          <w:numId w:val="24"/>
        </w:numPr>
        <w:jc w:val="both"/>
        <w:rPr>
          <w:rFonts w:cs="Arial"/>
        </w:rPr>
      </w:pPr>
      <w:r>
        <w:rPr>
          <w:rFonts w:cs="Arial"/>
        </w:rPr>
        <w:t>Ensure that the catheter is firmly secured and does not readily move.</w:t>
      </w:r>
    </w:p>
    <w:p w:rsidR="009F09EB" w:rsidRDefault="009F09EB" w:rsidP="00013638">
      <w:pPr>
        <w:jc w:val="both"/>
        <w:rPr>
          <w:rFonts w:cs="Arial"/>
        </w:rPr>
      </w:pPr>
    </w:p>
    <w:p w:rsidR="009F09EB" w:rsidRDefault="009F09EB" w:rsidP="00013638">
      <w:pPr>
        <w:numPr>
          <w:ilvl w:val="0"/>
          <w:numId w:val="24"/>
        </w:numPr>
        <w:jc w:val="both"/>
        <w:rPr>
          <w:rFonts w:cs="Arial"/>
        </w:rPr>
      </w:pPr>
      <w:r>
        <w:rPr>
          <w:rFonts w:cs="Arial"/>
        </w:rPr>
        <w:lastRenderedPageBreak/>
        <w:t>Dress the catheter with an appropriate sterile, semi-permeable or gauze dressing.</w:t>
      </w:r>
    </w:p>
    <w:p w:rsidR="00471CC7" w:rsidRDefault="00471CC7" w:rsidP="00471CC7">
      <w:pPr>
        <w:pStyle w:val="ListParagraph"/>
        <w:rPr>
          <w:rFonts w:cs="Arial"/>
        </w:rPr>
      </w:pPr>
    </w:p>
    <w:p w:rsidR="00471CC7" w:rsidRPr="00471CC7" w:rsidRDefault="00471CC7" w:rsidP="00013638">
      <w:pPr>
        <w:numPr>
          <w:ilvl w:val="0"/>
          <w:numId w:val="24"/>
        </w:numPr>
        <w:jc w:val="both"/>
        <w:rPr>
          <w:rFonts w:cs="Arial"/>
        </w:rPr>
      </w:pPr>
      <w:r w:rsidRPr="00C909AD">
        <w:t>Line position should be confirmed prior to use except where this is impracticable such as in the theatre environment. X ray confirmation should be obtained as soon as possible. Prio</w:t>
      </w:r>
      <w:r>
        <w:t>r to use the practitioner</w:t>
      </w:r>
      <w:r w:rsidRPr="00C909AD">
        <w:t xml:space="preserve"> should document adequate position of the CVC line in the clinical notes. This is considered to be in the lower third of the superior venae cavae.</w:t>
      </w:r>
    </w:p>
    <w:p w:rsidR="00471CC7" w:rsidRDefault="00471CC7" w:rsidP="00471CC7">
      <w:pPr>
        <w:pStyle w:val="ListParagraph"/>
        <w:rPr>
          <w:rFonts w:cs="Arial"/>
        </w:rPr>
      </w:pPr>
    </w:p>
    <w:p w:rsidR="00471CC7" w:rsidRPr="0007348F" w:rsidRDefault="00471CC7" w:rsidP="00471CC7">
      <w:pPr>
        <w:ind w:left="720"/>
      </w:pPr>
      <w:r w:rsidRPr="0007348F">
        <w:t xml:space="preserve">If there is any doubt at time of insertion as to line position consider the </w:t>
      </w:r>
      <w:r>
        <w:t>following</w:t>
      </w:r>
      <w:r w:rsidRPr="0007348F">
        <w:t xml:space="preserve"> additional measures.</w:t>
      </w:r>
    </w:p>
    <w:p w:rsidR="00471CC7" w:rsidRPr="0007348F" w:rsidRDefault="00471CC7" w:rsidP="00471CC7">
      <w:pPr>
        <w:numPr>
          <w:ilvl w:val="3"/>
          <w:numId w:val="34"/>
        </w:numPr>
        <w:tabs>
          <w:tab w:val="clear" w:pos="2880"/>
          <w:tab w:val="num" w:pos="2410"/>
        </w:tabs>
        <w:ind w:left="1701"/>
      </w:pPr>
      <w:r w:rsidRPr="0007348F">
        <w:t>USS identification of guidewire or cvc line in vein.</w:t>
      </w:r>
    </w:p>
    <w:p w:rsidR="00471CC7" w:rsidRPr="0007348F" w:rsidRDefault="00471CC7" w:rsidP="00471CC7">
      <w:pPr>
        <w:numPr>
          <w:ilvl w:val="3"/>
          <w:numId w:val="34"/>
        </w:numPr>
        <w:tabs>
          <w:tab w:val="clear" w:pos="2880"/>
          <w:tab w:val="num" w:pos="2127"/>
        </w:tabs>
        <w:ind w:left="1701"/>
      </w:pPr>
      <w:r w:rsidRPr="0007348F">
        <w:t>Blood gas to check PaO2</w:t>
      </w:r>
      <w:r w:rsidR="00EA5888">
        <w:t xml:space="preserve"> / SpO2</w:t>
      </w:r>
      <w:r w:rsidRPr="0007348F">
        <w:t xml:space="preserve"> level.</w:t>
      </w:r>
    </w:p>
    <w:p w:rsidR="00471CC7" w:rsidRPr="0007348F" w:rsidRDefault="00471CC7" w:rsidP="00471CC7">
      <w:pPr>
        <w:numPr>
          <w:ilvl w:val="3"/>
          <w:numId w:val="34"/>
        </w:numPr>
        <w:tabs>
          <w:tab w:val="clear" w:pos="2880"/>
        </w:tabs>
        <w:ind w:left="1701"/>
      </w:pPr>
      <w:r w:rsidRPr="0007348F">
        <w:t xml:space="preserve">Pressure transduction </w:t>
      </w:r>
      <w:r>
        <w:t xml:space="preserve">or manometry </w:t>
      </w:r>
      <w:r w:rsidRPr="0007348F">
        <w:t>of the cvc line</w:t>
      </w:r>
      <w:r>
        <w:t>, needle or cannula</w:t>
      </w:r>
      <w:r w:rsidRPr="0007348F">
        <w:t>.</w:t>
      </w:r>
    </w:p>
    <w:p w:rsidR="00471CC7" w:rsidRPr="0007348F" w:rsidRDefault="00471CC7" w:rsidP="00471CC7">
      <w:pPr>
        <w:numPr>
          <w:ilvl w:val="3"/>
          <w:numId w:val="34"/>
        </w:numPr>
        <w:tabs>
          <w:tab w:val="clear" w:pos="2880"/>
          <w:tab w:val="num" w:pos="2410"/>
        </w:tabs>
        <w:ind w:left="1701"/>
      </w:pPr>
      <w:r w:rsidRPr="0007348F">
        <w:t>Discussion with senior colleague.</w:t>
      </w:r>
    </w:p>
    <w:p w:rsidR="00471CC7" w:rsidRPr="0007348F" w:rsidRDefault="00471CC7" w:rsidP="00471CC7">
      <w:pPr>
        <w:numPr>
          <w:ilvl w:val="3"/>
          <w:numId w:val="34"/>
        </w:numPr>
        <w:tabs>
          <w:tab w:val="clear" w:pos="2880"/>
        </w:tabs>
        <w:ind w:left="1701"/>
      </w:pPr>
      <w:r w:rsidRPr="0007348F">
        <w:t>Discussion of x-ray with radiology.</w:t>
      </w:r>
    </w:p>
    <w:p w:rsidR="00471CC7" w:rsidRPr="0007348F" w:rsidRDefault="00471CC7" w:rsidP="00471CC7">
      <w:pPr>
        <w:numPr>
          <w:ilvl w:val="3"/>
          <w:numId w:val="34"/>
        </w:numPr>
        <w:tabs>
          <w:tab w:val="clear" w:pos="2880"/>
        </w:tabs>
        <w:ind w:left="1701"/>
      </w:pPr>
      <w:r w:rsidRPr="0007348F">
        <w:t>Further imaging such as lineogram or CT.</w:t>
      </w:r>
    </w:p>
    <w:p w:rsidR="00471CC7" w:rsidRDefault="00471CC7" w:rsidP="00471CC7">
      <w:pPr>
        <w:ind w:left="720"/>
        <w:jc w:val="both"/>
        <w:rPr>
          <w:rFonts w:cs="Arial"/>
        </w:rPr>
      </w:pPr>
    </w:p>
    <w:p w:rsidR="009F09EB" w:rsidRDefault="009F09EB" w:rsidP="00013638">
      <w:pPr>
        <w:jc w:val="both"/>
        <w:rPr>
          <w:rFonts w:cs="Arial"/>
        </w:rPr>
      </w:pPr>
    </w:p>
    <w:p w:rsidR="00471CC7" w:rsidRDefault="00471CC7" w:rsidP="00471CC7">
      <w:pPr>
        <w:pStyle w:val="ListParagraph"/>
        <w:numPr>
          <w:ilvl w:val="0"/>
          <w:numId w:val="35"/>
        </w:numPr>
      </w:pPr>
      <w:r>
        <w:t>A f</w:t>
      </w:r>
      <w:r w:rsidRPr="00C909AD">
        <w:t>ull procedural description and clinical indication should be documented within the clinical notes</w:t>
      </w:r>
      <w:r>
        <w:t>.</w:t>
      </w:r>
    </w:p>
    <w:p w:rsidR="009F09EB" w:rsidRDefault="009F09EB">
      <w:pPr>
        <w:rPr>
          <w:rFonts w:cs="Arial"/>
        </w:rPr>
      </w:pPr>
    </w:p>
    <w:p w:rsidR="00471CC7" w:rsidRPr="00471CC7" w:rsidRDefault="00471CC7" w:rsidP="00471CC7">
      <w:pPr>
        <w:pStyle w:val="ListParagraph"/>
        <w:numPr>
          <w:ilvl w:val="0"/>
          <w:numId w:val="35"/>
        </w:numPr>
        <w:rPr>
          <w:rFonts w:cs="Arial"/>
        </w:rPr>
      </w:pPr>
      <w:r w:rsidRPr="00C909AD">
        <w:t>High impact intervention form No 1 should also be commenced and accompany the patient as part of their notation</w:t>
      </w:r>
      <w:r>
        <w:t>.</w:t>
      </w:r>
    </w:p>
    <w:p w:rsidR="009F09EB" w:rsidRDefault="009F09EB">
      <w:pPr>
        <w:rPr>
          <w:rFonts w:cs="Arial"/>
        </w:rPr>
      </w:pPr>
    </w:p>
    <w:p w:rsidR="009F09EB" w:rsidRDefault="009F09EB">
      <w:pPr>
        <w:rPr>
          <w:rFonts w:cs="Arial"/>
        </w:rPr>
      </w:pPr>
    </w:p>
    <w:p w:rsidR="009F09EB" w:rsidRDefault="009F09EB">
      <w:pPr>
        <w:rPr>
          <w:rFonts w:cs="Arial"/>
          <w:b/>
        </w:rPr>
      </w:pPr>
      <w:r>
        <w:rPr>
          <w:rFonts w:cs="Arial"/>
        </w:rPr>
        <w:br w:type="page"/>
      </w:r>
      <w:r>
        <w:rPr>
          <w:rFonts w:cs="Arial"/>
          <w:b/>
        </w:rPr>
        <w:lastRenderedPageBreak/>
        <w:t xml:space="preserve">Catheter type </w:t>
      </w:r>
    </w:p>
    <w:p w:rsidR="009F09EB" w:rsidRDefault="009F09EB">
      <w:pPr>
        <w:rPr>
          <w:rFonts w:cs="Arial"/>
          <w:b/>
        </w:rPr>
      </w:pPr>
    </w:p>
    <w:p w:rsidR="009F09EB" w:rsidRDefault="009F09EB" w:rsidP="00013638">
      <w:pPr>
        <w:jc w:val="both"/>
        <w:rPr>
          <w:rFonts w:cs="Arial"/>
        </w:rPr>
      </w:pPr>
      <w:r>
        <w:rPr>
          <w:rFonts w:cs="Arial"/>
        </w:rPr>
        <w:t>It is important to consider which type of catheter is required prior to insertion.</w:t>
      </w:r>
    </w:p>
    <w:p w:rsidR="009F09EB" w:rsidRDefault="009F09EB" w:rsidP="00013638">
      <w:pPr>
        <w:jc w:val="both"/>
        <w:rPr>
          <w:rFonts w:cs="Arial"/>
        </w:rPr>
      </w:pPr>
    </w:p>
    <w:p w:rsidR="009F09EB" w:rsidRPr="006D3258" w:rsidRDefault="006D3258" w:rsidP="006D3258">
      <w:pPr>
        <w:numPr>
          <w:ilvl w:val="0"/>
          <w:numId w:val="25"/>
        </w:numPr>
        <w:jc w:val="both"/>
        <w:rPr>
          <w:rFonts w:cs="Arial"/>
        </w:rPr>
      </w:pPr>
      <w:r w:rsidRPr="006D3258">
        <w:rPr>
          <w:rFonts w:cs="Arial"/>
        </w:rPr>
        <w:t>Use a catheter with the minimum</w:t>
      </w:r>
      <w:r>
        <w:rPr>
          <w:rFonts w:cs="Arial"/>
        </w:rPr>
        <w:t xml:space="preserve"> </w:t>
      </w:r>
      <w:r w:rsidRPr="006D3258">
        <w:rPr>
          <w:rFonts w:cs="Arial"/>
        </w:rPr>
        <w:t>number of ports or lumens essential for</w:t>
      </w:r>
      <w:r>
        <w:rPr>
          <w:rFonts w:cs="Arial"/>
        </w:rPr>
        <w:t xml:space="preserve"> </w:t>
      </w:r>
      <w:r w:rsidRPr="006D3258">
        <w:rPr>
          <w:rFonts w:cs="Arial"/>
        </w:rPr>
        <w:t>management of the patient.</w:t>
      </w:r>
    </w:p>
    <w:p w:rsidR="009F09EB" w:rsidRDefault="009F09EB" w:rsidP="00013638">
      <w:pPr>
        <w:jc w:val="both"/>
        <w:rPr>
          <w:rFonts w:cs="Arial"/>
        </w:rPr>
      </w:pPr>
    </w:p>
    <w:p w:rsidR="009F09EB" w:rsidRDefault="009F09EB" w:rsidP="00013638">
      <w:pPr>
        <w:numPr>
          <w:ilvl w:val="0"/>
          <w:numId w:val="25"/>
        </w:numPr>
        <w:jc w:val="both"/>
        <w:rPr>
          <w:rFonts w:cs="Arial"/>
        </w:rPr>
      </w:pPr>
      <w:r>
        <w:rPr>
          <w:rFonts w:cs="Arial"/>
        </w:rPr>
        <w:t>Consider the use of antimicrobial impregnated central venous access device for adult patients who require short-term (1-3 weeks) central venous catheterisation and who are at high risk for catheter-related blood stream infection if rates of CR-BSI remain high despite implementing a comprehensive strategy to reduce rates of CR-BSI.</w:t>
      </w:r>
    </w:p>
    <w:p w:rsidR="006D3258" w:rsidRDefault="006D3258" w:rsidP="006D3258">
      <w:pPr>
        <w:pStyle w:val="ListParagraph"/>
        <w:rPr>
          <w:rFonts w:cs="Arial"/>
        </w:rPr>
      </w:pPr>
    </w:p>
    <w:p w:rsidR="006D3258" w:rsidRDefault="006D3258" w:rsidP="006D3258">
      <w:pPr>
        <w:numPr>
          <w:ilvl w:val="0"/>
          <w:numId w:val="25"/>
        </w:numPr>
        <w:jc w:val="both"/>
        <w:rPr>
          <w:rFonts w:cs="Arial"/>
        </w:rPr>
      </w:pPr>
      <w:r w:rsidRPr="006D3258">
        <w:rPr>
          <w:rFonts w:cs="Arial"/>
        </w:rPr>
        <w:t>Preferably use a designated single</w:t>
      </w:r>
      <w:r>
        <w:rPr>
          <w:rFonts w:cs="Arial"/>
        </w:rPr>
        <w:t xml:space="preserve"> </w:t>
      </w:r>
      <w:r w:rsidRPr="006D3258">
        <w:rPr>
          <w:rFonts w:cs="Arial"/>
        </w:rPr>
        <w:t>lumen</w:t>
      </w:r>
      <w:r>
        <w:rPr>
          <w:rFonts w:cs="Arial"/>
        </w:rPr>
        <w:t xml:space="preserve"> </w:t>
      </w:r>
      <w:r w:rsidRPr="006D3258">
        <w:rPr>
          <w:rFonts w:cs="Arial"/>
        </w:rPr>
        <w:t>catheter to administer lipid</w:t>
      </w:r>
      <w:r>
        <w:rPr>
          <w:rFonts w:cs="Arial"/>
        </w:rPr>
        <w:t xml:space="preserve"> </w:t>
      </w:r>
      <w:r w:rsidRPr="006D3258">
        <w:rPr>
          <w:rFonts w:cs="Arial"/>
        </w:rPr>
        <w:t>containing</w:t>
      </w:r>
      <w:r>
        <w:rPr>
          <w:rFonts w:cs="Arial"/>
        </w:rPr>
        <w:t xml:space="preserve"> </w:t>
      </w:r>
      <w:r w:rsidRPr="006D3258">
        <w:rPr>
          <w:rFonts w:cs="Arial"/>
        </w:rPr>
        <w:t>parenteral nutrition or other</w:t>
      </w:r>
      <w:r>
        <w:rPr>
          <w:rFonts w:cs="Arial"/>
        </w:rPr>
        <w:t xml:space="preserve"> </w:t>
      </w:r>
      <w:r w:rsidRPr="006D3258">
        <w:rPr>
          <w:rFonts w:cs="Arial"/>
        </w:rPr>
        <w:t>lipid-based solutions.</w:t>
      </w:r>
      <w:r w:rsidR="00896362">
        <w:rPr>
          <w:rFonts w:cs="Arial"/>
        </w:rPr>
        <w:t xml:space="preserve"> When administering parenteral nutrition through a multi lumen catheter, a single dedicated lumen should be used.</w:t>
      </w:r>
    </w:p>
    <w:p w:rsidR="00B7551D" w:rsidRDefault="00B7551D" w:rsidP="00B7551D">
      <w:pPr>
        <w:pStyle w:val="ListParagraph"/>
        <w:rPr>
          <w:rFonts w:cs="Arial"/>
        </w:rPr>
      </w:pPr>
    </w:p>
    <w:p w:rsidR="00B7551D" w:rsidRPr="006D3258" w:rsidRDefault="00B7551D" w:rsidP="006D3258">
      <w:pPr>
        <w:numPr>
          <w:ilvl w:val="0"/>
          <w:numId w:val="25"/>
        </w:numPr>
        <w:jc w:val="both"/>
        <w:rPr>
          <w:rFonts w:cs="Arial"/>
        </w:rPr>
      </w:pPr>
      <w:r>
        <w:rPr>
          <w:rFonts w:cs="Arial"/>
        </w:rPr>
        <w:t xml:space="preserve">Many central lines are impregnated with chlorhexidine, it is important to have chlorhexidine free central lines in sensitive patients. </w:t>
      </w:r>
    </w:p>
    <w:p w:rsidR="009F09EB" w:rsidRDefault="009F09EB">
      <w:pPr>
        <w:rPr>
          <w:rFonts w:cs="Arial"/>
        </w:rPr>
      </w:pPr>
    </w:p>
    <w:p w:rsidR="009F09EB" w:rsidRDefault="009F09EB">
      <w:pPr>
        <w:rPr>
          <w:rFonts w:cs="Arial"/>
        </w:rPr>
      </w:pPr>
    </w:p>
    <w:p w:rsidR="009F09EB" w:rsidRDefault="009F09EB">
      <w:pPr>
        <w:rPr>
          <w:rFonts w:cs="Arial"/>
          <w:b/>
        </w:rPr>
      </w:pPr>
      <w:r>
        <w:rPr>
          <w:rFonts w:cs="Arial"/>
          <w:b/>
        </w:rPr>
        <w:t>Insertion site</w:t>
      </w:r>
    </w:p>
    <w:p w:rsidR="00EA5888" w:rsidRDefault="00EA5888">
      <w:pPr>
        <w:rPr>
          <w:rFonts w:cs="Arial"/>
          <w:b/>
        </w:rPr>
      </w:pPr>
    </w:p>
    <w:p w:rsidR="00EA5888" w:rsidRPr="00EA5888" w:rsidRDefault="00EA5888" w:rsidP="00EA5888">
      <w:pPr>
        <w:rPr>
          <w:rFonts w:cs="Arial"/>
        </w:rPr>
      </w:pPr>
      <w:r w:rsidRPr="00EA5888">
        <w:rPr>
          <w:rFonts w:cs="Arial"/>
        </w:rPr>
        <w:t>The site at which a vascular access catheter is placed can influence the subsequent risk of CR-BSI because of variation in both the density of local skin flora and the risk of thrombophlebitis.</w:t>
      </w:r>
    </w:p>
    <w:p w:rsidR="009F09EB" w:rsidRDefault="009F09EB">
      <w:pPr>
        <w:rPr>
          <w:rFonts w:cs="Arial"/>
          <w:b/>
        </w:rPr>
      </w:pPr>
    </w:p>
    <w:p w:rsidR="009F09EB" w:rsidRDefault="009F09EB" w:rsidP="00013638">
      <w:pPr>
        <w:numPr>
          <w:ilvl w:val="0"/>
          <w:numId w:val="26"/>
        </w:numPr>
        <w:jc w:val="both"/>
        <w:rPr>
          <w:rFonts w:cs="Arial"/>
        </w:rPr>
      </w:pPr>
      <w:r>
        <w:rPr>
          <w:rFonts w:cs="Arial"/>
        </w:rPr>
        <w:t>In selecting an appropriate insertion site, assess the risks for infection against the risks of mechanical complications</w:t>
      </w:r>
      <w:r w:rsidR="00E75690">
        <w:rPr>
          <w:rFonts w:cs="Arial"/>
        </w:rPr>
        <w:t xml:space="preserve"> and patient comfort</w:t>
      </w:r>
      <w:r>
        <w:rPr>
          <w:rFonts w:cs="Arial"/>
        </w:rPr>
        <w:t>.</w:t>
      </w:r>
    </w:p>
    <w:p w:rsidR="00E75690" w:rsidRDefault="00E75690" w:rsidP="00E75690">
      <w:pPr>
        <w:jc w:val="both"/>
        <w:rPr>
          <w:rFonts w:cs="Arial"/>
        </w:rPr>
      </w:pPr>
    </w:p>
    <w:p w:rsidR="00E75690" w:rsidRPr="00E75690" w:rsidRDefault="00E75690" w:rsidP="00E75690">
      <w:pPr>
        <w:pStyle w:val="ListParagraph"/>
        <w:numPr>
          <w:ilvl w:val="0"/>
          <w:numId w:val="26"/>
        </w:numPr>
        <w:jc w:val="both"/>
        <w:rPr>
          <w:rFonts w:cs="Arial"/>
        </w:rPr>
      </w:pPr>
      <w:r w:rsidRPr="00E75690">
        <w:rPr>
          <w:rFonts w:cs="Arial"/>
        </w:rPr>
        <w:t>Ultrasound guided insertion aids the insertion of Central Lines and should be available.</w:t>
      </w:r>
    </w:p>
    <w:p w:rsidR="00AF6ADA" w:rsidRPr="00AF6ADA" w:rsidRDefault="00AF6ADA" w:rsidP="00AF6ADA">
      <w:pPr>
        <w:rPr>
          <w:rFonts w:cs="Arial"/>
        </w:rPr>
      </w:pPr>
    </w:p>
    <w:p w:rsidR="00AF6ADA" w:rsidRDefault="00AF6ADA" w:rsidP="00013638">
      <w:pPr>
        <w:numPr>
          <w:ilvl w:val="0"/>
          <w:numId w:val="26"/>
        </w:numPr>
        <w:jc w:val="both"/>
        <w:rPr>
          <w:rFonts w:cs="Arial"/>
        </w:rPr>
      </w:pPr>
      <w:r w:rsidRPr="00E75690">
        <w:rPr>
          <w:rFonts w:ascii="StoneSans" w:hAnsi="StoneSans"/>
          <w:sz w:val="23"/>
          <w:szCs w:val="23"/>
          <w:lang w:eastAsia="en-GB"/>
        </w:rPr>
        <w:t>Ensure that the subclavian site or internal jugular vein is used</w:t>
      </w:r>
      <w:r>
        <w:rPr>
          <w:rFonts w:ascii="StoneSans" w:hAnsi="StoneSans"/>
          <w:sz w:val="23"/>
          <w:szCs w:val="23"/>
          <w:lang w:eastAsia="en-GB"/>
        </w:rPr>
        <w:t xml:space="preserve"> unless medically contraindicated. The femoral site should be avoided whenever possible.</w:t>
      </w:r>
    </w:p>
    <w:p w:rsidR="009F09EB" w:rsidRDefault="009F09EB" w:rsidP="00013638">
      <w:pPr>
        <w:jc w:val="both"/>
        <w:rPr>
          <w:rFonts w:cs="Arial"/>
        </w:rPr>
      </w:pPr>
    </w:p>
    <w:p w:rsidR="009F09EB" w:rsidRDefault="009F09EB" w:rsidP="00013638">
      <w:pPr>
        <w:numPr>
          <w:ilvl w:val="0"/>
          <w:numId w:val="26"/>
        </w:numPr>
        <w:jc w:val="both"/>
        <w:rPr>
          <w:rFonts w:cs="Arial"/>
        </w:rPr>
      </w:pPr>
      <w:r>
        <w:rPr>
          <w:rFonts w:cs="Arial"/>
        </w:rPr>
        <w:t>Consider the use of peripherally inserted catheters as an alternative to subclavian or jugular vein catheterisation.</w:t>
      </w:r>
    </w:p>
    <w:p w:rsidR="009F09EB" w:rsidRDefault="009F09EB" w:rsidP="00013638">
      <w:pPr>
        <w:jc w:val="both"/>
        <w:rPr>
          <w:rFonts w:cs="Arial"/>
        </w:rPr>
      </w:pPr>
    </w:p>
    <w:p w:rsidR="009F09EB" w:rsidRDefault="009F09EB" w:rsidP="00013638">
      <w:pPr>
        <w:numPr>
          <w:ilvl w:val="0"/>
          <w:numId w:val="26"/>
        </w:numPr>
        <w:jc w:val="both"/>
        <w:rPr>
          <w:rFonts w:cs="Arial"/>
        </w:rPr>
      </w:pPr>
      <w:r>
        <w:rPr>
          <w:rFonts w:cs="Arial"/>
        </w:rPr>
        <w:t>Do not insert the catheter into an area of inflammation or infection.</w:t>
      </w:r>
    </w:p>
    <w:p w:rsidR="009F09EB" w:rsidRDefault="009F09EB" w:rsidP="00013638">
      <w:pPr>
        <w:jc w:val="both"/>
        <w:rPr>
          <w:rFonts w:cs="Arial"/>
        </w:rPr>
      </w:pPr>
    </w:p>
    <w:p w:rsidR="009F09EB" w:rsidRDefault="009F09EB" w:rsidP="00013638">
      <w:pPr>
        <w:numPr>
          <w:ilvl w:val="0"/>
          <w:numId w:val="26"/>
        </w:numPr>
        <w:jc w:val="both"/>
        <w:rPr>
          <w:rFonts w:cs="Arial"/>
        </w:rPr>
      </w:pPr>
      <w:r>
        <w:rPr>
          <w:rFonts w:cs="Arial"/>
        </w:rPr>
        <w:t xml:space="preserve">A sterile, transparent, semi permeable polyurethane dressing or gauze and tape dressing should be used to cover the catheter insertion site. </w:t>
      </w:r>
    </w:p>
    <w:p w:rsidR="002A10F0" w:rsidRDefault="002A10F0" w:rsidP="002A10F0">
      <w:pPr>
        <w:pStyle w:val="ListParagraph"/>
        <w:rPr>
          <w:rFonts w:cs="Arial"/>
        </w:rPr>
      </w:pPr>
    </w:p>
    <w:p w:rsidR="002A10F0" w:rsidRPr="002A10F0" w:rsidRDefault="002A10F0" w:rsidP="002A10F0">
      <w:pPr>
        <w:jc w:val="both"/>
        <w:rPr>
          <w:rFonts w:cs="Arial"/>
        </w:rPr>
      </w:pPr>
      <w:r w:rsidRPr="002A10F0">
        <w:rPr>
          <w:rFonts w:cs="Arial"/>
        </w:rPr>
        <w:t>Additional related good practice considerations:</w:t>
      </w:r>
    </w:p>
    <w:p w:rsidR="002A10F0" w:rsidRDefault="002A10F0" w:rsidP="002A10F0">
      <w:pPr>
        <w:jc w:val="both"/>
        <w:rPr>
          <w:rFonts w:cs="Arial"/>
        </w:rPr>
      </w:pPr>
    </w:p>
    <w:p w:rsidR="002A10F0" w:rsidRPr="002A10F0" w:rsidRDefault="002A10F0" w:rsidP="002A10F0">
      <w:pPr>
        <w:pStyle w:val="ListParagraph"/>
        <w:numPr>
          <w:ilvl w:val="0"/>
          <w:numId w:val="36"/>
        </w:numPr>
        <w:jc w:val="both"/>
        <w:rPr>
          <w:rFonts w:cs="Arial"/>
        </w:rPr>
      </w:pPr>
      <w:r w:rsidRPr="002A10F0">
        <w:rPr>
          <w:rFonts w:cs="Arial"/>
        </w:rPr>
        <w:t>the coagulation status</w:t>
      </w:r>
    </w:p>
    <w:p w:rsidR="002A10F0" w:rsidRPr="002A10F0" w:rsidRDefault="002A10F0" w:rsidP="002A10F0">
      <w:pPr>
        <w:pStyle w:val="ListParagraph"/>
        <w:numPr>
          <w:ilvl w:val="0"/>
          <w:numId w:val="36"/>
        </w:numPr>
        <w:jc w:val="both"/>
        <w:rPr>
          <w:rFonts w:cs="Arial"/>
        </w:rPr>
      </w:pPr>
      <w:r w:rsidRPr="002A10F0">
        <w:rPr>
          <w:rFonts w:cs="Arial"/>
        </w:rPr>
        <w:lastRenderedPageBreak/>
        <w:t>the site of other lines</w:t>
      </w:r>
    </w:p>
    <w:p w:rsidR="002A10F0" w:rsidRPr="002A10F0" w:rsidRDefault="002A10F0" w:rsidP="002A10F0">
      <w:pPr>
        <w:pStyle w:val="ListParagraph"/>
        <w:numPr>
          <w:ilvl w:val="0"/>
          <w:numId w:val="36"/>
        </w:numPr>
        <w:jc w:val="both"/>
        <w:rPr>
          <w:rFonts w:cs="Arial"/>
        </w:rPr>
      </w:pPr>
      <w:r w:rsidRPr="002A10F0">
        <w:rPr>
          <w:rFonts w:cs="Arial"/>
        </w:rPr>
        <w:t>the potential for pneumothorax</w:t>
      </w:r>
    </w:p>
    <w:p w:rsidR="002A10F0" w:rsidRPr="002A10F0" w:rsidRDefault="002A10F0" w:rsidP="002A10F0">
      <w:pPr>
        <w:pStyle w:val="ListParagraph"/>
        <w:numPr>
          <w:ilvl w:val="0"/>
          <w:numId w:val="36"/>
        </w:numPr>
        <w:jc w:val="both"/>
        <w:rPr>
          <w:rFonts w:cs="Arial"/>
        </w:rPr>
      </w:pPr>
      <w:r w:rsidRPr="002A10F0">
        <w:rPr>
          <w:rFonts w:cs="Arial"/>
        </w:rPr>
        <w:t>operator skill and the use of ultrasound guidance.</w:t>
      </w:r>
    </w:p>
    <w:p w:rsidR="009F09EB" w:rsidRDefault="009F09EB" w:rsidP="00013638">
      <w:pPr>
        <w:jc w:val="both"/>
        <w:rPr>
          <w:rFonts w:cs="Arial"/>
        </w:rPr>
      </w:pPr>
    </w:p>
    <w:p w:rsidR="009F09EB" w:rsidRDefault="009F09EB" w:rsidP="00013638">
      <w:pPr>
        <w:jc w:val="both"/>
        <w:rPr>
          <w:rFonts w:cs="Arial"/>
        </w:rPr>
      </w:pPr>
    </w:p>
    <w:p w:rsidR="002A10F0" w:rsidRDefault="002A10F0" w:rsidP="00013638">
      <w:pPr>
        <w:jc w:val="both"/>
        <w:rPr>
          <w:rFonts w:cs="Arial"/>
          <w:b/>
        </w:rPr>
      </w:pPr>
    </w:p>
    <w:p w:rsidR="002A10F0" w:rsidRDefault="002A10F0" w:rsidP="00013638">
      <w:pPr>
        <w:jc w:val="both"/>
        <w:rPr>
          <w:rFonts w:cs="Arial"/>
          <w:b/>
        </w:rPr>
      </w:pPr>
    </w:p>
    <w:p w:rsidR="002A10F0" w:rsidRDefault="002A10F0" w:rsidP="00013638">
      <w:pPr>
        <w:jc w:val="both"/>
        <w:rPr>
          <w:rFonts w:cs="Arial"/>
          <w:b/>
        </w:rPr>
      </w:pPr>
    </w:p>
    <w:p w:rsidR="002A10F0" w:rsidRDefault="002A10F0" w:rsidP="00013638">
      <w:pPr>
        <w:jc w:val="both"/>
        <w:rPr>
          <w:rFonts w:cs="Arial"/>
          <w:b/>
        </w:rPr>
      </w:pPr>
    </w:p>
    <w:p w:rsidR="009F09EB" w:rsidRDefault="009F09EB" w:rsidP="00013638">
      <w:pPr>
        <w:jc w:val="both"/>
        <w:rPr>
          <w:rFonts w:cs="Arial"/>
          <w:b/>
        </w:rPr>
      </w:pPr>
      <w:r>
        <w:rPr>
          <w:rFonts w:cs="Arial"/>
          <w:b/>
        </w:rPr>
        <w:t>Antimicrobial prophylaxis</w:t>
      </w:r>
    </w:p>
    <w:p w:rsidR="009F09EB" w:rsidRDefault="009F09EB" w:rsidP="00013638">
      <w:pPr>
        <w:jc w:val="both"/>
        <w:rPr>
          <w:rFonts w:cs="Arial"/>
          <w:b/>
        </w:rPr>
      </w:pPr>
    </w:p>
    <w:p w:rsidR="009F09EB" w:rsidRDefault="009F09EB" w:rsidP="00013638">
      <w:pPr>
        <w:numPr>
          <w:ilvl w:val="0"/>
          <w:numId w:val="27"/>
        </w:numPr>
        <w:jc w:val="both"/>
        <w:rPr>
          <w:rFonts w:cs="Arial"/>
        </w:rPr>
      </w:pPr>
      <w:r>
        <w:rPr>
          <w:rFonts w:cs="Arial"/>
        </w:rPr>
        <w:t xml:space="preserve">Do not routinely administer </w:t>
      </w:r>
      <w:r w:rsidR="002A10F0">
        <w:rPr>
          <w:rFonts w:cs="Arial"/>
        </w:rPr>
        <w:t xml:space="preserve">intranasal or </w:t>
      </w:r>
      <w:r>
        <w:rPr>
          <w:rFonts w:cs="Arial"/>
        </w:rPr>
        <w:t>systemic antimicrobials before insertion or during the use of a central venous access device to prevent catheter colonisation or blood stream infection.</w:t>
      </w:r>
    </w:p>
    <w:p w:rsidR="009F09EB" w:rsidRDefault="009F09EB" w:rsidP="00013638">
      <w:pPr>
        <w:jc w:val="both"/>
        <w:rPr>
          <w:rFonts w:cs="Arial"/>
        </w:rPr>
      </w:pPr>
    </w:p>
    <w:p w:rsidR="009F09EB" w:rsidRDefault="009F09EB" w:rsidP="00013638">
      <w:pPr>
        <w:numPr>
          <w:ilvl w:val="0"/>
          <w:numId w:val="27"/>
        </w:numPr>
        <w:jc w:val="both"/>
        <w:rPr>
          <w:rFonts w:cs="Arial"/>
        </w:rPr>
      </w:pPr>
      <w:r>
        <w:rPr>
          <w:rFonts w:cs="Arial"/>
        </w:rPr>
        <w:t>Do not use antibiotic lock solutions routinely to prevent catheter-related blood stream infections.</w:t>
      </w:r>
    </w:p>
    <w:p w:rsidR="009F09EB" w:rsidRDefault="009F09EB" w:rsidP="00013638">
      <w:pPr>
        <w:jc w:val="both"/>
        <w:rPr>
          <w:rFonts w:cs="Arial"/>
        </w:rPr>
      </w:pPr>
    </w:p>
    <w:p w:rsidR="009F09EB" w:rsidRDefault="009F09EB">
      <w:pPr>
        <w:rPr>
          <w:rFonts w:cs="Arial"/>
        </w:rPr>
      </w:pPr>
    </w:p>
    <w:p w:rsidR="00B30F69" w:rsidRDefault="009F09EB">
      <w:pPr>
        <w:rPr>
          <w:rFonts w:cs="Arial"/>
        </w:rPr>
      </w:pPr>
      <w:r>
        <w:rPr>
          <w:rFonts w:cs="Arial"/>
        </w:rPr>
        <w:br w:type="page"/>
      </w:r>
    </w:p>
    <w:p w:rsidR="00B30F69" w:rsidRDefault="00B30F69">
      <w:pPr>
        <w:rPr>
          <w:rFonts w:cs="Arial"/>
          <w:b/>
        </w:rPr>
      </w:pPr>
      <w:r w:rsidRPr="00B30F69">
        <w:rPr>
          <w:rFonts w:cs="Arial"/>
          <w:b/>
        </w:rPr>
        <w:lastRenderedPageBreak/>
        <w:t>Central Venous Catheter Maintenance</w:t>
      </w:r>
    </w:p>
    <w:p w:rsidR="000F7F65" w:rsidRDefault="000F7F65" w:rsidP="00B30F69">
      <w:pPr>
        <w:rPr>
          <w:rFonts w:cs="Arial"/>
        </w:rPr>
      </w:pPr>
    </w:p>
    <w:p w:rsidR="00B30F69" w:rsidRDefault="00B30F69" w:rsidP="00B30F69">
      <w:pPr>
        <w:rPr>
          <w:rFonts w:cs="Arial"/>
        </w:rPr>
      </w:pPr>
      <w:r w:rsidRPr="00B30F69">
        <w:rPr>
          <w:rFonts w:cs="Arial"/>
        </w:rPr>
        <w:t>The safe maintenance of an intravascular catheter an appropriate care of the insertion site are essential components for preventing catheter-related infections.</w:t>
      </w:r>
    </w:p>
    <w:p w:rsidR="000F7F65" w:rsidRDefault="000F7F65" w:rsidP="00B30F69">
      <w:pPr>
        <w:rPr>
          <w:rFonts w:cs="Arial"/>
        </w:rPr>
      </w:pPr>
    </w:p>
    <w:p w:rsidR="000F7F65" w:rsidRDefault="000F7F65" w:rsidP="000F7F65">
      <w:pPr>
        <w:rPr>
          <w:rFonts w:cs="Arial"/>
        </w:rPr>
      </w:pPr>
      <w:r w:rsidRPr="000F7F65">
        <w:rPr>
          <w:rFonts w:cs="Arial"/>
        </w:rPr>
        <w:t>Hand hygiene</w:t>
      </w:r>
      <w:r w:rsidR="00B7551D">
        <w:rPr>
          <w:rFonts w:cs="Arial"/>
        </w:rPr>
        <w:t xml:space="preserve"> </w:t>
      </w:r>
      <w:r w:rsidRPr="000F7F65">
        <w:rPr>
          <w:rFonts w:cs="Arial"/>
        </w:rPr>
        <w:t>must be completed prior to and after any manipulation of the central line or IV</w:t>
      </w:r>
      <w:r>
        <w:rPr>
          <w:rFonts w:cs="Arial"/>
        </w:rPr>
        <w:t xml:space="preserve"> </w:t>
      </w:r>
      <w:r w:rsidRPr="000F7F65">
        <w:rPr>
          <w:rFonts w:cs="Arial"/>
        </w:rPr>
        <w:t>a</w:t>
      </w:r>
      <w:r w:rsidR="00B7551D">
        <w:rPr>
          <w:rFonts w:cs="Arial"/>
        </w:rPr>
        <w:t>dministration sets.</w:t>
      </w:r>
    </w:p>
    <w:p w:rsidR="000F7F65" w:rsidRDefault="000F7F65" w:rsidP="000F7F65">
      <w:pPr>
        <w:rPr>
          <w:rFonts w:cs="Arial"/>
        </w:rPr>
      </w:pPr>
    </w:p>
    <w:p w:rsidR="000F7F65" w:rsidRPr="000F7F65" w:rsidRDefault="000F7F65" w:rsidP="000F7F65">
      <w:pPr>
        <w:rPr>
          <w:rFonts w:cs="Arial"/>
        </w:rPr>
      </w:pPr>
      <w:r w:rsidRPr="000F7F65">
        <w:rPr>
          <w:rFonts w:cs="Arial"/>
        </w:rPr>
        <w:t>This includes but is not limited to:</w:t>
      </w:r>
    </w:p>
    <w:p w:rsidR="000F7F65" w:rsidRPr="000F7F65" w:rsidRDefault="000F7F65" w:rsidP="000F7F65">
      <w:pPr>
        <w:rPr>
          <w:rFonts w:cs="Arial"/>
        </w:rPr>
      </w:pPr>
      <w:r w:rsidRPr="000F7F65">
        <w:rPr>
          <w:rFonts w:cs="Arial"/>
        </w:rPr>
        <w:t>• assessment of the line</w:t>
      </w:r>
    </w:p>
    <w:p w:rsidR="000F7F65" w:rsidRPr="000F7F65" w:rsidRDefault="000F7F65" w:rsidP="000F7F65">
      <w:pPr>
        <w:rPr>
          <w:rFonts w:cs="Arial"/>
        </w:rPr>
      </w:pPr>
      <w:r w:rsidRPr="000F7F65">
        <w:rPr>
          <w:rFonts w:cs="Arial"/>
        </w:rPr>
        <w:t>• safety checks</w:t>
      </w:r>
    </w:p>
    <w:p w:rsidR="000F7F65" w:rsidRDefault="000F7F65" w:rsidP="000F7F65">
      <w:pPr>
        <w:rPr>
          <w:rFonts w:cs="Arial"/>
        </w:rPr>
      </w:pPr>
      <w:r w:rsidRPr="000F7F65">
        <w:rPr>
          <w:rFonts w:cs="Arial"/>
        </w:rPr>
        <w:t>• accessing any ports such as administration of drugs or blood sampling</w:t>
      </w:r>
    </w:p>
    <w:p w:rsidR="005127CE" w:rsidRDefault="005127CE" w:rsidP="000F7F65">
      <w:pPr>
        <w:rPr>
          <w:rFonts w:cs="Arial"/>
        </w:rPr>
      </w:pPr>
    </w:p>
    <w:p w:rsidR="005127CE" w:rsidRPr="005127CE" w:rsidRDefault="005127CE" w:rsidP="005127CE">
      <w:pPr>
        <w:rPr>
          <w:rFonts w:cs="Arial"/>
          <w:b/>
        </w:rPr>
      </w:pPr>
      <w:r w:rsidRPr="005127CE">
        <w:rPr>
          <w:rFonts w:cs="Arial"/>
          <w:b/>
        </w:rPr>
        <w:t>Accessing the Central Venous Catheter</w:t>
      </w:r>
    </w:p>
    <w:p w:rsidR="005127CE" w:rsidRDefault="005127CE" w:rsidP="005127CE">
      <w:pPr>
        <w:rPr>
          <w:rFonts w:cs="Arial"/>
        </w:rPr>
      </w:pPr>
    </w:p>
    <w:p w:rsidR="005127CE" w:rsidRDefault="005127CE" w:rsidP="005127CE">
      <w:pPr>
        <w:rPr>
          <w:rFonts w:cs="Arial"/>
        </w:rPr>
      </w:pPr>
      <w:r w:rsidRPr="005127CE">
        <w:rPr>
          <w:rFonts w:cs="Arial"/>
        </w:rPr>
        <w:t>Aseptic</w:t>
      </w:r>
      <w:r w:rsidR="00AF6ADA">
        <w:rPr>
          <w:rFonts w:cs="Arial"/>
        </w:rPr>
        <w:t xml:space="preserve"> non touch</w:t>
      </w:r>
      <w:r w:rsidRPr="005127CE">
        <w:rPr>
          <w:rFonts w:cs="Arial"/>
        </w:rPr>
        <w:t xml:space="preserve"> technique</w:t>
      </w:r>
      <w:r w:rsidR="00202DC8">
        <w:rPr>
          <w:rFonts w:cs="Arial"/>
        </w:rPr>
        <w:t xml:space="preserve"> (ANTT)</w:t>
      </w:r>
      <w:r w:rsidRPr="005127CE">
        <w:rPr>
          <w:rFonts w:cs="Arial"/>
        </w:rPr>
        <w:t xml:space="preserve"> is important when accessing the</w:t>
      </w:r>
      <w:r>
        <w:rPr>
          <w:rFonts w:cs="Arial"/>
        </w:rPr>
        <w:t xml:space="preserve"> </w:t>
      </w:r>
      <w:r w:rsidRPr="005127CE">
        <w:rPr>
          <w:rFonts w:cs="Arial"/>
        </w:rPr>
        <w:t>system</w:t>
      </w:r>
      <w:r>
        <w:rPr>
          <w:rFonts w:cs="Arial"/>
        </w:rPr>
        <w:t>.</w:t>
      </w:r>
    </w:p>
    <w:p w:rsidR="005127CE" w:rsidRDefault="005127CE" w:rsidP="005127CE">
      <w:pPr>
        <w:rPr>
          <w:rFonts w:cs="Arial"/>
        </w:rPr>
      </w:pPr>
    </w:p>
    <w:p w:rsidR="005127CE" w:rsidRDefault="005127CE" w:rsidP="005127CE">
      <w:pPr>
        <w:pStyle w:val="ListParagraph"/>
        <w:numPr>
          <w:ilvl w:val="0"/>
          <w:numId w:val="37"/>
        </w:numPr>
        <w:rPr>
          <w:rFonts w:cs="Arial"/>
        </w:rPr>
      </w:pPr>
      <w:r w:rsidRPr="005127CE">
        <w:rPr>
          <w:rFonts w:cs="Arial"/>
        </w:rPr>
        <w:t>A single-use application of 2%</w:t>
      </w:r>
      <w:r>
        <w:rPr>
          <w:rFonts w:cs="Arial"/>
        </w:rPr>
        <w:t xml:space="preserve"> </w:t>
      </w:r>
      <w:r w:rsidRPr="005127CE">
        <w:rPr>
          <w:rFonts w:cs="Arial"/>
        </w:rPr>
        <w:t>chlorhexidine gluconate in 70% isopropyl alcohol (or povidone iodine in alcohol for patients with sensitivity to chlorhexidine) should be used to decontaminate the access port or catheter hub. The hub should be cleaned for a minimum of 15 s and allowed to dry before accessing the system.</w:t>
      </w:r>
    </w:p>
    <w:p w:rsidR="001B3F96" w:rsidRDefault="001B3F96" w:rsidP="001B3F96">
      <w:pPr>
        <w:rPr>
          <w:rFonts w:cs="Arial"/>
        </w:rPr>
      </w:pPr>
    </w:p>
    <w:p w:rsidR="001B3F96" w:rsidRDefault="001B3F96" w:rsidP="001B3F96">
      <w:pPr>
        <w:pStyle w:val="ListParagraph"/>
        <w:numPr>
          <w:ilvl w:val="0"/>
          <w:numId w:val="37"/>
        </w:numPr>
        <w:rPr>
          <w:rFonts w:cs="Arial"/>
        </w:rPr>
      </w:pPr>
      <w:r>
        <w:rPr>
          <w:rFonts w:cs="Arial"/>
        </w:rPr>
        <w:t>Subsequently u</w:t>
      </w:r>
      <w:r w:rsidRPr="001B3F96">
        <w:rPr>
          <w:rFonts w:cs="Arial"/>
        </w:rPr>
        <w:t>se an aseptic, non-touch</w:t>
      </w:r>
      <w:r>
        <w:rPr>
          <w:rFonts w:cs="Arial"/>
        </w:rPr>
        <w:t xml:space="preserve"> technique (ANTT)</w:t>
      </w:r>
      <w:r w:rsidRPr="001B3F96">
        <w:rPr>
          <w:rFonts w:cs="Arial"/>
        </w:rPr>
        <w:t xml:space="preserve"> whenever the CVC is accessed.</w:t>
      </w:r>
    </w:p>
    <w:p w:rsidR="0068531F" w:rsidRPr="0068531F" w:rsidRDefault="0068531F" w:rsidP="0068531F">
      <w:pPr>
        <w:pStyle w:val="ListParagraph"/>
        <w:rPr>
          <w:rFonts w:cs="Arial"/>
        </w:rPr>
      </w:pPr>
    </w:p>
    <w:p w:rsidR="0068531F" w:rsidRPr="001B3F96" w:rsidRDefault="0068531F" w:rsidP="001B3F96">
      <w:pPr>
        <w:pStyle w:val="ListParagraph"/>
        <w:numPr>
          <w:ilvl w:val="0"/>
          <w:numId w:val="37"/>
        </w:numPr>
        <w:rPr>
          <w:rFonts w:cs="Arial"/>
        </w:rPr>
      </w:pPr>
    </w:p>
    <w:p w:rsidR="00B30F69" w:rsidRDefault="00B30F69" w:rsidP="00B30F69">
      <w:pPr>
        <w:rPr>
          <w:rFonts w:cs="Arial"/>
        </w:rPr>
      </w:pPr>
    </w:p>
    <w:p w:rsidR="00B30F69" w:rsidRDefault="00B30F69" w:rsidP="00B30F69">
      <w:pPr>
        <w:rPr>
          <w:rFonts w:cs="Arial"/>
          <w:b/>
        </w:rPr>
      </w:pPr>
      <w:r>
        <w:rPr>
          <w:rFonts w:cs="Arial"/>
          <w:b/>
        </w:rPr>
        <w:t>Monitoring of infection</w:t>
      </w:r>
    </w:p>
    <w:p w:rsidR="00B30F69" w:rsidRDefault="00B30F69" w:rsidP="00B30F69">
      <w:pPr>
        <w:rPr>
          <w:rFonts w:cs="Arial"/>
        </w:rPr>
      </w:pPr>
    </w:p>
    <w:p w:rsidR="00B30F69" w:rsidRDefault="00B30F69" w:rsidP="00B30F69">
      <w:pPr>
        <w:numPr>
          <w:ilvl w:val="0"/>
          <w:numId w:val="22"/>
        </w:numPr>
        <w:jc w:val="both"/>
        <w:rPr>
          <w:rFonts w:cs="Arial"/>
        </w:rPr>
      </w:pPr>
      <w:r>
        <w:rPr>
          <w:rFonts w:cs="Arial"/>
        </w:rPr>
        <w:t>Catheter sites should be monitored visually or by palpation through an intact dressing for evidence of catheter-related complications.</w:t>
      </w:r>
    </w:p>
    <w:p w:rsidR="00B30F69" w:rsidRDefault="00B30F69" w:rsidP="00B30F69">
      <w:pPr>
        <w:jc w:val="both"/>
        <w:rPr>
          <w:rFonts w:cs="Arial"/>
        </w:rPr>
      </w:pPr>
    </w:p>
    <w:p w:rsidR="00B30F69" w:rsidRDefault="00B30F69" w:rsidP="00B30F69">
      <w:pPr>
        <w:numPr>
          <w:ilvl w:val="0"/>
          <w:numId w:val="22"/>
        </w:numPr>
        <w:jc w:val="both"/>
        <w:rPr>
          <w:rFonts w:cs="Arial"/>
        </w:rPr>
      </w:pPr>
      <w:r>
        <w:rPr>
          <w:rFonts w:cs="Arial"/>
        </w:rPr>
        <w:t xml:space="preserve">Monitor for erythema, tenderness, warmth, thrombosis, pus and pyrexia daily. Check white cell count regularly. </w:t>
      </w:r>
    </w:p>
    <w:p w:rsidR="000F7F65" w:rsidRDefault="000F7F65" w:rsidP="000F7F65">
      <w:pPr>
        <w:pStyle w:val="ListParagraph"/>
        <w:rPr>
          <w:rFonts w:cs="Arial"/>
        </w:rPr>
      </w:pPr>
    </w:p>
    <w:p w:rsidR="000F7F65" w:rsidRPr="005127CE" w:rsidRDefault="000F7F65" w:rsidP="00B30F69">
      <w:pPr>
        <w:numPr>
          <w:ilvl w:val="0"/>
          <w:numId w:val="22"/>
        </w:numPr>
        <w:jc w:val="both"/>
        <w:rPr>
          <w:rFonts w:cs="Arial"/>
        </w:rPr>
      </w:pPr>
      <w:r>
        <w:rPr>
          <w:rFonts w:cs="Arial"/>
        </w:rPr>
        <w:t xml:space="preserve">Use of a </w:t>
      </w:r>
      <w:r>
        <w:rPr>
          <w:sz w:val="22"/>
          <w:szCs w:val="22"/>
        </w:rPr>
        <w:t>Central Catheter Assessment Tool (CCAT)</w:t>
      </w:r>
      <w:r w:rsidR="00346645">
        <w:rPr>
          <w:sz w:val="22"/>
          <w:szCs w:val="22"/>
        </w:rPr>
        <w:t xml:space="preserve"> (appendix2)</w:t>
      </w:r>
      <w:r>
        <w:rPr>
          <w:sz w:val="22"/>
          <w:szCs w:val="22"/>
        </w:rPr>
        <w:t xml:space="preserve"> should be considered. </w:t>
      </w:r>
    </w:p>
    <w:p w:rsidR="005127CE" w:rsidRDefault="005127CE" w:rsidP="005127CE">
      <w:pPr>
        <w:pStyle w:val="ListParagraph"/>
        <w:rPr>
          <w:rFonts w:cs="Arial"/>
        </w:rPr>
      </w:pPr>
    </w:p>
    <w:p w:rsidR="005127CE" w:rsidRPr="00C909AD" w:rsidRDefault="005127CE" w:rsidP="005127CE">
      <w:pPr>
        <w:pStyle w:val="ListParagraph"/>
        <w:numPr>
          <w:ilvl w:val="0"/>
          <w:numId w:val="22"/>
        </w:numPr>
      </w:pPr>
      <w:r w:rsidRPr="00C909AD">
        <w:t>In the event of purulent discharge a swab of skin site should be taken.</w:t>
      </w:r>
    </w:p>
    <w:p w:rsidR="005127CE" w:rsidRPr="005127CE" w:rsidRDefault="005127CE" w:rsidP="005127CE">
      <w:pPr>
        <w:ind w:left="360"/>
        <w:jc w:val="both"/>
        <w:rPr>
          <w:rFonts w:cs="Arial"/>
        </w:rPr>
      </w:pPr>
    </w:p>
    <w:p w:rsidR="00B30F69" w:rsidRPr="005127CE" w:rsidRDefault="005127CE" w:rsidP="00B30F69">
      <w:pPr>
        <w:numPr>
          <w:ilvl w:val="0"/>
          <w:numId w:val="22"/>
        </w:numPr>
        <w:jc w:val="both"/>
        <w:rPr>
          <w:rFonts w:cs="Arial"/>
        </w:rPr>
      </w:pPr>
      <w:r w:rsidRPr="00C909AD">
        <w:t>Catheter tips should not routinely be sent for culture unless there is a clinical suspicion of line related infection</w:t>
      </w:r>
    </w:p>
    <w:p w:rsidR="00B30F69" w:rsidRPr="008046D4" w:rsidRDefault="00B30F69" w:rsidP="00B30F69">
      <w:pPr>
        <w:numPr>
          <w:ilvl w:val="0"/>
          <w:numId w:val="32"/>
        </w:numPr>
        <w:spacing w:before="100" w:beforeAutospacing="1" w:after="100" w:afterAutospacing="1"/>
        <w:jc w:val="both"/>
        <w:rPr>
          <w:rFonts w:cs="Arial"/>
        </w:rPr>
      </w:pPr>
      <w:r w:rsidRPr="008046D4">
        <w:rPr>
          <w:rFonts w:cs="Arial"/>
          <w:szCs w:val="24"/>
          <w:lang w:eastAsia="en-GB"/>
        </w:rPr>
        <w:t>Daily review of line necessity with prompt removal of unnecessary line</w:t>
      </w:r>
    </w:p>
    <w:p w:rsidR="008046D4" w:rsidRPr="008046D4" w:rsidRDefault="008046D4" w:rsidP="008046D4">
      <w:pPr>
        <w:spacing w:before="100" w:beforeAutospacing="1" w:after="100" w:afterAutospacing="1"/>
        <w:jc w:val="both"/>
        <w:rPr>
          <w:rFonts w:cs="Arial"/>
        </w:rPr>
      </w:pPr>
    </w:p>
    <w:p w:rsidR="00B30F69" w:rsidRDefault="00B30F69">
      <w:pPr>
        <w:rPr>
          <w:rFonts w:cs="Arial"/>
          <w:b/>
        </w:rPr>
      </w:pPr>
    </w:p>
    <w:p w:rsidR="00346645" w:rsidRDefault="00346645">
      <w:pPr>
        <w:rPr>
          <w:rFonts w:cs="Arial"/>
          <w:b/>
        </w:rPr>
      </w:pPr>
    </w:p>
    <w:p w:rsidR="00346645" w:rsidRDefault="00346645">
      <w:pPr>
        <w:rPr>
          <w:rFonts w:cs="Arial"/>
          <w:b/>
        </w:rPr>
      </w:pPr>
    </w:p>
    <w:p w:rsidR="009F09EB" w:rsidRDefault="009F09EB">
      <w:pPr>
        <w:rPr>
          <w:rFonts w:cs="Arial"/>
          <w:b/>
        </w:rPr>
      </w:pPr>
      <w:r>
        <w:rPr>
          <w:rFonts w:cs="Arial"/>
          <w:b/>
        </w:rPr>
        <w:t>Catheter dressing</w:t>
      </w:r>
    </w:p>
    <w:p w:rsidR="002A10F0" w:rsidRDefault="002A10F0">
      <w:pPr>
        <w:rPr>
          <w:rFonts w:cs="Arial"/>
          <w:b/>
        </w:rPr>
      </w:pPr>
    </w:p>
    <w:p w:rsidR="002A10F0" w:rsidRPr="002A10F0" w:rsidRDefault="002A10F0" w:rsidP="002A10F0">
      <w:pPr>
        <w:rPr>
          <w:rFonts w:cs="Arial"/>
        </w:rPr>
      </w:pPr>
      <w:r w:rsidRPr="002A10F0">
        <w:rPr>
          <w:rFonts w:cs="Arial"/>
        </w:rPr>
        <w:t>Fol</w:t>
      </w:r>
      <w:r>
        <w:rPr>
          <w:rFonts w:cs="Arial"/>
        </w:rPr>
        <w:t>lowing placement of a central venous catheter</w:t>
      </w:r>
      <w:r w:rsidRPr="002A10F0">
        <w:rPr>
          <w:rFonts w:cs="Arial"/>
        </w:rPr>
        <w:t>, a dressing is used to</w:t>
      </w:r>
      <w:r>
        <w:rPr>
          <w:rFonts w:cs="Arial"/>
        </w:rPr>
        <w:t xml:space="preserve"> protect the insertion site. O</w:t>
      </w:r>
      <w:r w:rsidRPr="002A10F0">
        <w:rPr>
          <w:rFonts w:cs="Arial"/>
        </w:rPr>
        <w:t>cclusive dressings</w:t>
      </w:r>
      <w:r>
        <w:rPr>
          <w:rFonts w:cs="Arial"/>
        </w:rPr>
        <w:t xml:space="preserve"> can</w:t>
      </w:r>
      <w:r w:rsidRPr="002A10F0">
        <w:rPr>
          <w:rFonts w:cs="Arial"/>
        </w:rPr>
        <w:t xml:space="preserve"> trap moisture</w:t>
      </w:r>
      <w:r>
        <w:rPr>
          <w:rFonts w:cs="Arial"/>
        </w:rPr>
        <w:t xml:space="preserve"> </w:t>
      </w:r>
      <w:r w:rsidRPr="002A10F0">
        <w:rPr>
          <w:rFonts w:cs="Arial"/>
        </w:rPr>
        <w:t>on the skin and provide an ideal environment for the rapid</w:t>
      </w:r>
      <w:r>
        <w:rPr>
          <w:rFonts w:cs="Arial"/>
        </w:rPr>
        <w:t xml:space="preserve"> growth of local micro fl</w:t>
      </w:r>
      <w:r w:rsidRPr="002A10F0">
        <w:rPr>
          <w:rFonts w:cs="Arial"/>
        </w:rPr>
        <w:t>ora, dressings for insertion sites must</w:t>
      </w:r>
      <w:r>
        <w:rPr>
          <w:rFonts w:cs="Arial"/>
        </w:rPr>
        <w:t xml:space="preserve"> be permeable to water vapour.</w:t>
      </w:r>
      <w:r w:rsidRPr="002A10F0">
        <w:rPr>
          <w:rFonts w:cs="Arial"/>
        </w:rPr>
        <w:t xml:space="preserve"> The two most common types</w:t>
      </w:r>
      <w:r>
        <w:rPr>
          <w:rFonts w:cs="Arial"/>
        </w:rPr>
        <w:t xml:space="preserve"> </w:t>
      </w:r>
      <w:r w:rsidRPr="002A10F0">
        <w:rPr>
          <w:rFonts w:cs="Arial"/>
        </w:rPr>
        <w:t>of dressings used for insertion sites are sterile, transparent,</w:t>
      </w:r>
      <w:r>
        <w:rPr>
          <w:rFonts w:cs="Arial"/>
        </w:rPr>
        <w:t xml:space="preserve"> </w:t>
      </w:r>
      <w:r w:rsidRPr="002A10F0">
        <w:rPr>
          <w:rFonts w:cs="Arial"/>
        </w:rPr>
        <w:t>semi-permeable polyurethane dressings</w:t>
      </w:r>
      <w:r>
        <w:rPr>
          <w:rFonts w:cs="Arial"/>
        </w:rPr>
        <w:t xml:space="preserve"> </w:t>
      </w:r>
      <w:r w:rsidRPr="002A10F0">
        <w:rPr>
          <w:rFonts w:cs="Arial"/>
        </w:rPr>
        <w:t>and gauze dressings. Transparent dressings are permeable to water</w:t>
      </w:r>
      <w:r>
        <w:rPr>
          <w:rFonts w:cs="Arial"/>
        </w:rPr>
        <w:t xml:space="preserve"> </w:t>
      </w:r>
      <w:r w:rsidRPr="002A10F0">
        <w:rPr>
          <w:rFonts w:cs="Arial"/>
        </w:rPr>
        <w:t>vapour and oxygen, and impermeable to microorganisms.</w:t>
      </w:r>
    </w:p>
    <w:p w:rsidR="009F09EB" w:rsidRDefault="009F09EB" w:rsidP="00013638">
      <w:pPr>
        <w:jc w:val="both"/>
        <w:rPr>
          <w:rFonts w:cs="Arial"/>
        </w:rPr>
      </w:pPr>
    </w:p>
    <w:p w:rsidR="009F09EB" w:rsidRDefault="002A10F0" w:rsidP="00013638">
      <w:pPr>
        <w:numPr>
          <w:ilvl w:val="0"/>
          <w:numId w:val="28"/>
        </w:numPr>
        <w:jc w:val="both"/>
        <w:rPr>
          <w:rFonts w:cs="Arial"/>
        </w:rPr>
      </w:pPr>
      <w:r>
        <w:rPr>
          <w:rFonts w:cs="Arial"/>
        </w:rPr>
        <w:t xml:space="preserve">A </w:t>
      </w:r>
      <w:r w:rsidR="009F09EB">
        <w:rPr>
          <w:rFonts w:cs="Arial"/>
        </w:rPr>
        <w:t>sterile, transparent, semi permeable polyurethane dressing should preferably be used to cover the catheter insertion site.</w:t>
      </w:r>
    </w:p>
    <w:p w:rsidR="009F09EB" w:rsidRDefault="009F09EB" w:rsidP="00013638">
      <w:pPr>
        <w:jc w:val="both"/>
        <w:rPr>
          <w:rFonts w:cs="Arial"/>
        </w:rPr>
      </w:pPr>
    </w:p>
    <w:p w:rsidR="009F09EB" w:rsidRDefault="009F09EB" w:rsidP="00013638">
      <w:pPr>
        <w:numPr>
          <w:ilvl w:val="0"/>
          <w:numId w:val="28"/>
        </w:numPr>
        <w:jc w:val="both"/>
        <w:rPr>
          <w:rFonts w:cs="Arial"/>
        </w:rPr>
      </w:pPr>
      <w:r>
        <w:rPr>
          <w:rFonts w:cs="Arial"/>
        </w:rPr>
        <w:t>Transparent dressings should be changed every 7 days.</w:t>
      </w:r>
    </w:p>
    <w:p w:rsidR="009F09EB" w:rsidRDefault="009F09EB" w:rsidP="00013638">
      <w:pPr>
        <w:jc w:val="both"/>
        <w:rPr>
          <w:rFonts w:cs="Arial"/>
        </w:rPr>
      </w:pPr>
    </w:p>
    <w:p w:rsidR="009F09EB" w:rsidRDefault="009F09EB" w:rsidP="00013638">
      <w:pPr>
        <w:numPr>
          <w:ilvl w:val="0"/>
          <w:numId w:val="28"/>
        </w:numPr>
        <w:jc w:val="both"/>
        <w:rPr>
          <w:rFonts w:cs="Arial"/>
        </w:rPr>
      </w:pPr>
      <w:r>
        <w:rPr>
          <w:rFonts w:cs="Arial"/>
        </w:rPr>
        <w:t>Evidence of any breach of the dressing, loss of skin adhesion, significant soiling or collection of moisture should lead to earlier dressing change.</w:t>
      </w:r>
    </w:p>
    <w:p w:rsidR="009F09EB" w:rsidRDefault="009F09EB" w:rsidP="00013638">
      <w:pPr>
        <w:jc w:val="both"/>
        <w:rPr>
          <w:rFonts w:cs="Arial"/>
        </w:rPr>
      </w:pPr>
    </w:p>
    <w:p w:rsidR="009F09EB" w:rsidRDefault="009F09EB" w:rsidP="00013638">
      <w:pPr>
        <w:numPr>
          <w:ilvl w:val="0"/>
          <w:numId w:val="28"/>
        </w:numPr>
        <w:jc w:val="both"/>
        <w:rPr>
          <w:rFonts w:cs="Arial"/>
        </w:rPr>
      </w:pPr>
      <w:r>
        <w:rPr>
          <w:rFonts w:cs="Arial"/>
        </w:rPr>
        <w:t>If the patient has profuse perspiration or if the insertion site is bleeding or oozing, a sterile gauze dressing may be preferable to a transparent semi-permeable dressing.</w:t>
      </w:r>
    </w:p>
    <w:p w:rsidR="009F09EB" w:rsidRDefault="009F09EB" w:rsidP="00013638">
      <w:pPr>
        <w:jc w:val="both"/>
        <w:rPr>
          <w:rFonts w:cs="Arial"/>
        </w:rPr>
      </w:pPr>
    </w:p>
    <w:p w:rsidR="009F09EB" w:rsidRDefault="009F09EB" w:rsidP="00013638">
      <w:pPr>
        <w:numPr>
          <w:ilvl w:val="0"/>
          <w:numId w:val="28"/>
        </w:numPr>
        <w:jc w:val="both"/>
        <w:rPr>
          <w:rFonts w:cs="Arial"/>
        </w:rPr>
      </w:pPr>
      <w:r>
        <w:rPr>
          <w:rFonts w:cs="Arial"/>
        </w:rPr>
        <w:t>The need for a gauze dressing should be assessed daily and changed when inspection of the insertion site is necessary or when the dressing becomes damp loosened or soiled. A gauze dressing should be replaced with a transparent dressing as soon as possible.</w:t>
      </w:r>
    </w:p>
    <w:p w:rsidR="009F09EB" w:rsidRDefault="009F09EB" w:rsidP="00013638">
      <w:pPr>
        <w:jc w:val="both"/>
        <w:rPr>
          <w:rFonts w:cs="Arial"/>
        </w:rPr>
      </w:pPr>
    </w:p>
    <w:p w:rsidR="009F09EB" w:rsidRDefault="009F09EB" w:rsidP="00013638">
      <w:pPr>
        <w:numPr>
          <w:ilvl w:val="0"/>
          <w:numId w:val="28"/>
        </w:numPr>
        <w:jc w:val="both"/>
        <w:rPr>
          <w:rFonts w:cs="Arial"/>
        </w:rPr>
      </w:pPr>
      <w:r>
        <w:rPr>
          <w:rFonts w:cs="Arial"/>
        </w:rPr>
        <w:t>An alcoholic chlorhexidine gluconate solution (preferably 2% chlorhexidine gluconate in 70% isopropyl alcohol) should be used to clean the catheter insertion site during dressing changes, and allowed to air dry. An aqueous solution of chlorhexidine gluconate should be used if the manufacturer’s recommendations prohibit the use of alcohol with their product.</w:t>
      </w:r>
    </w:p>
    <w:p w:rsidR="009F09EB" w:rsidRDefault="009F09EB" w:rsidP="00013638">
      <w:pPr>
        <w:jc w:val="both"/>
        <w:rPr>
          <w:rFonts w:cs="Arial"/>
        </w:rPr>
      </w:pPr>
    </w:p>
    <w:p w:rsidR="009F09EB" w:rsidRDefault="009F09EB" w:rsidP="00013638">
      <w:pPr>
        <w:numPr>
          <w:ilvl w:val="0"/>
          <w:numId w:val="28"/>
        </w:numPr>
        <w:jc w:val="both"/>
        <w:rPr>
          <w:rFonts w:cs="Arial"/>
        </w:rPr>
      </w:pPr>
      <w:r>
        <w:rPr>
          <w:rFonts w:cs="Arial"/>
        </w:rPr>
        <w:t>Individual single use sachets of antiseptic solution or individual packages of single use antiseptic-impregnated swabs or wipes should be used to disinfect the insertion site.</w:t>
      </w:r>
    </w:p>
    <w:p w:rsidR="009F09EB" w:rsidRDefault="009F09EB" w:rsidP="00013638">
      <w:pPr>
        <w:jc w:val="both"/>
        <w:rPr>
          <w:rFonts w:cs="Arial"/>
        </w:rPr>
      </w:pPr>
    </w:p>
    <w:p w:rsidR="009F09EB" w:rsidRDefault="009F09EB" w:rsidP="00013638">
      <w:pPr>
        <w:numPr>
          <w:ilvl w:val="0"/>
          <w:numId w:val="28"/>
        </w:numPr>
        <w:jc w:val="both"/>
        <w:rPr>
          <w:rFonts w:cs="Arial"/>
        </w:rPr>
      </w:pPr>
      <w:r>
        <w:rPr>
          <w:rFonts w:cs="Arial"/>
        </w:rPr>
        <w:t>Do not apply antimicrobial ointment to catheter insertion sites as part of routine catheter site care.</w:t>
      </w:r>
    </w:p>
    <w:p w:rsidR="00C526E3" w:rsidRDefault="00C526E3" w:rsidP="00C526E3">
      <w:pPr>
        <w:pStyle w:val="ListParagraph"/>
        <w:rPr>
          <w:rFonts w:cs="Arial"/>
        </w:rPr>
      </w:pPr>
    </w:p>
    <w:p w:rsidR="00C526E3" w:rsidRDefault="00C526E3" w:rsidP="00C526E3">
      <w:pPr>
        <w:numPr>
          <w:ilvl w:val="0"/>
          <w:numId w:val="28"/>
        </w:numPr>
        <w:jc w:val="both"/>
        <w:rPr>
          <w:rFonts w:cs="Arial"/>
        </w:rPr>
      </w:pPr>
      <w:r w:rsidRPr="00C526E3">
        <w:rPr>
          <w:rFonts w:cs="Arial"/>
        </w:rPr>
        <w:t>Consider the use of a chlorhexidine</w:t>
      </w:r>
      <w:r>
        <w:rPr>
          <w:rFonts w:cs="Arial"/>
        </w:rPr>
        <w:t xml:space="preserve"> </w:t>
      </w:r>
      <w:r w:rsidRPr="00C526E3">
        <w:rPr>
          <w:rFonts w:cs="Arial"/>
        </w:rPr>
        <w:t>impregnated</w:t>
      </w:r>
      <w:r>
        <w:rPr>
          <w:rFonts w:cs="Arial"/>
        </w:rPr>
        <w:t xml:space="preserve"> </w:t>
      </w:r>
      <w:r w:rsidRPr="00C526E3">
        <w:rPr>
          <w:rFonts w:cs="Arial"/>
        </w:rPr>
        <w:t>sponge dressing in adult</w:t>
      </w:r>
      <w:r>
        <w:rPr>
          <w:rFonts w:cs="Arial"/>
        </w:rPr>
        <w:t xml:space="preserve"> </w:t>
      </w:r>
      <w:r w:rsidRPr="00C526E3">
        <w:rPr>
          <w:rFonts w:cs="Arial"/>
        </w:rPr>
        <w:t>patients with a central venous catheter</w:t>
      </w:r>
      <w:r>
        <w:rPr>
          <w:rFonts w:cs="Arial"/>
        </w:rPr>
        <w:t xml:space="preserve"> </w:t>
      </w:r>
      <w:r w:rsidRPr="00C526E3">
        <w:rPr>
          <w:rFonts w:cs="Arial"/>
        </w:rPr>
        <w:t>as a strategy to reduce catheter</w:t>
      </w:r>
      <w:r>
        <w:rPr>
          <w:rFonts w:cs="Arial"/>
        </w:rPr>
        <w:t xml:space="preserve"> </w:t>
      </w:r>
      <w:r w:rsidRPr="00C526E3">
        <w:rPr>
          <w:rFonts w:cs="Arial"/>
        </w:rPr>
        <w:t>related</w:t>
      </w:r>
      <w:r>
        <w:rPr>
          <w:rFonts w:cs="Arial"/>
        </w:rPr>
        <w:t xml:space="preserve"> </w:t>
      </w:r>
      <w:r w:rsidRPr="00C526E3">
        <w:rPr>
          <w:rFonts w:cs="Arial"/>
        </w:rPr>
        <w:t>bloodstream infection.</w:t>
      </w:r>
    </w:p>
    <w:p w:rsidR="00C526E3" w:rsidRDefault="00C526E3" w:rsidP="00C526E3">
      <w:pPr>
        <w:pStyle w:val="ListParagraph"/>
        <w:rPr>
          <w:rFonts w:cs="Arial"/>
        </w:rPr>
      </w:pPr>
    </w:p>
    <w:p w:rsidR="00C526E3" w:rsidRPr="00C526E3" w:rsidRDefault="00C526E3" w:rsidP="00C526E3">
      <w:pPr>
        <w:numPr>
          <w:ilvl w:val="0"/>
          <w:numId w:val="28"/>
        </w:numPr>
        <w:jc w:val="both"/>
        <w:rPr>
          <w:rFonts w:cs="Arial"/>
        </w:rPr>
      </w:pPr>
      <w:r w:rsidRPr="00C526E3">
        <w:rPr>
          <w:rFonts w:cs="Arial"/>
        </w:rPr>
        <w:lastRenderedPageBreak/>
        <w:t>Consider the use of daily cleansing with</w:t>
      </w:r>
      <w:r>
        <w:rPr>
          <w:rFonts w:cs="Arial"/>
        </w:rPr>
        <w:t xml:space="preserve"> </w:t>
      </w:r>
      <w:r w:rsidRPr="00C526E3">
        <w:rPr>
          <w:rFonts w:cs="Arial"/>
        </w:rPr>
        <w:t>chlorhexidine daily in adult patients</w:t>
      </w:r>
      <w:r>
        <w:rPr>
          <w:rFonts w:cs="Arial"/>
        </w:rPr>
        <w:t xml:space="preserve"> </w:t>
      </w:r>
      <w:r w:rsidRPr="00C526E3">
        <w:rPr>
          <w:rFonts w:cs="Arial"/>
        </w:rPr>
        <w:t>with a central venous catheter as a</w:t>
      </w:r>
      <w:r>
        <w:rPr>
          <w:rFonts w:cs="Arial"/>
        </w:rPr>
        <w:t xml:space="preserve"> </w:t>
      </w:r>
      <w:r w:rsidRPr="00C526E3">
        <w:rPr>
          <w:rFonts w:cs="Arial"/>
        </w:rPr>
        <w:t>strategy to reduce catheter-related</w:t>
      </w:r>
      <w:r>
        <w:rPr>
          <w:rFonts w:cs="Arial"/>
        </w:rPr>
        <w:t xml:space="preserve"> </w:t>
      </w:r>
      <w:r w:rsidRPr="00C526E3">
        <w:rPr>
          <w:rFonts w:cs="Arial"/>
        </w:rPr>
        <w:t>bloodstream infection.</w:t>
      </w:r>
    </w:p>
    <w:p w:rsidR="009F09EB" w:rsidRDefault="009F09EB" w:rsidP="00013638">
      <w:pPr>
        <w:jc w:val="both"/>
        <w:rPr>
          <w:rFonts w:cs="Arial"/>
        </w:rPr>
      </w:pPr>
    </w:p>
    <w:p w:rsidR="009F09EB" w:rsidRDefault="009F09EB" w:rsidP="00013638">
      <w:pPr>
        <w:numPr>
          <w:ilvl w:val="0"/>
          <w:numId w:val="28"/>
        </w:numPr>
        <w:jc w:val="both"/>
        <w:rPr>
          <w:rFonts w:cs="Arial"/>
        </w:rPr>
      </w:pPr>
      <w:r>
        <w:rPr>
          <w:rFonts w:cs="Arial"/>
        </w:rPr>
        <w:t>Healthcare workers should ensure that catheter-site care is compatible with catheter materials (tubing, hubs, injection ports, leur connectors and extensions) and carefully check compatibility with the manufacturer’s recommendations.</w:t>
      </w:r>
    </w:p>
    <w:p w:rsidR="009F09EB" w:rsidRDefault="009F09EB" w:rsidP="00013638">
      <w:pPr>
        <w:jc w:val="both"/>
        <w:rPr>
          <w:rFonts w:cs="Arial"/>
        </w:rPr>
      </w:pPr>
    </w:p>
    <w:p w:rsidR="009F09EB" w:rsidRDefault="009F09EB">
      <w:pPr>
        <w:rPr>
          <w:rFonts w:cs="Arial"/>
          <w:b/>
        </w:rPr>
      </w:pPr>
    </w:p>
    <w:p w:rsidR="009F09EB" w:rsidRDefault="009F09EB">
      <w:pPr>
        <w:rPr>
          <w:rFonts w:cs="Arial"/>
          <w:b/>
        </w:rPr>
      </w:pPr>
      <w:r>
        <w:rPr>
          <w:rFonts w:cs="Arial"/>
          <w:b/>
        </w:rPr>
        <w:br w:type="page"/>
      </w:r>
      <w:r>
        <w:rPr>
          <w:rFonts w:cs="Arial"/>
          <w:b/>
        </w:rPr>
        <w:lastRenderedPageBreak/>
        <w:t>Parenteral solutions</w:t>
      </w:r>
    </w:p>
    <w:p w:rsidR="002F1406" w:rsidRDefault="002F1406">
      <w:pPr>
        <w:rPr>
          <w:rFonts w:cs="Arial"/>
          <w:b/>
        </w:rPr>
      </w:pPr>
    </w:p>
    <w:p w:rsidR="002F1406" w:rsidRPr="002F1406" w:rsidRDefault="002F1406" w:rsidP="002F1406">
      <w:pPr>
        <w:pStyle w:val="ListParagraph"/>
        <w:numPr>
          <w:ilvl w:val="0"/>
          <w:numId w:val="45"/>
        </w:numPr>
        <w:rPr>
          <w:rFonts w:cs="Arial"/>
        </w:rPr>
      </w:pPr>
      <w:r>
        <w:rPr>
          <w:rFonts w:cs="Arial"/>
        </w:rPr>
        <w:t>The patency of the catheter should</w:t>
      </w:r>
      <w:r w:rsidRPr="002F1406">
        <w:rPr>
          <w:rFonts w:cs="Arial"/>
        </w:rPr>
        <w:t xml:space="preserve"> be checked prior to administration of medications and/or solutions.</w:t>
      </w:r>
    </w:p>
    <w:p w:rsidR="009F09EB" w:rsidRDefault="009F09EB">
      <w:pPr>
        <w:rPr>
          <w:rFonts w:cs="Arial"/>
          <w:b/>
        </w:rPr>
      </w:pPr>
    </w:p>
    <w:p w:rsidR="009F09EB" w:rsidRPr="001B0A77" w:rsidRDefault="009F09EB" w:rsidP="001B0A77">
      <w:pPr>
        <w:numPr>
          <w:ilvl w:val="0"/>
          <w:numId w:val="29"/>
        </w:numPr>
        <w:jc w:val="both"/>
        <w:rPr>
          <w:rFonts w:cs="Arial"/>
        </w:rPr>
      </w:pPr>
      <w:r>
        <w:rPr>
          <w:rFonts w:cs="Arial"/>
        </w:rPr>
        <w:t>In general, solution administration sets in continuous use need not be</w:t>
      </w:r>
      <w:r w:rsidR="001B0A77">
        <w:rPr>
          <w:rFonts w:cs="Arial"/>
        </w:rPr>
        <w:t xml:space="preserve"> changed more frequently than 96</w:t>
      </w:r>
      <w:r>
        <w:rPr>
          <w:rFonts w:cs="Arial"/>
        </w:rPr>
        <w:t>-hour intervals unless they become disconnected</w:t>
      </w:r>
      <w:r w:rsidR="00AF6ADA">
        <w:rPr>
          <w:rFonts w:cs="Arial"/>
        </w:rPr>
        <w:t>, contain visible blood, clot or debris</w:t>
      </w:r>
      <w:r>
        <w:rPr>
          <w:rFonts w:cs="Arial"/>
        </w:rPr>
        <w:t xml:space="preserve"> or a central venous device is replaced.</w:t>
      </w:r>
      <w:r w:rsidR="00AF6ADA">
        <w:rPr>
          <w:rFonts w:cs="Arial"/>
        </w:rPr>
        <w:t xml:space="preserve"> </w:t>
      </w:r>
      <w:r w:rsidR="001B0A77">
        <w:rPr>
          <w:rFonts w:cs="Arial"/>
        </w:rPr>
        <w:t>Device-specifi</w:t>
      </w:r>
      <w:r w:rsidR="001B0A77" w:rsidRPr="001B0A77">
        <w:rPr>
          <w:rFonts w:cs="Arial"/>
        </w:rPr>
        <w:t>c recommendations from</w:t>
      </w:r>
      <w:r w:rsidR="001B0A77">
        <w:rPr>
          <w:rFonts w:cs="Arial"/>
        </w:rPr>
        <w:t xml:space="preserve"> </w:t>
      </w:r>
      <w:r w:rsidR="001B0A77" w:rsidRPr="001B0A77">
        <w:rPr>
          <w:rFonts w:cs="Arial"/>
        </w:rPr>
        <w:t>the manufacturer</w:t>
      </w:r>
      <w:r w:rsidR="001B0A77">
        <w:rPr>
          <w:rFonts w:cs="Arial"/>
        </w:rPr>
        <w:t xml:space="preserve"> should be adhered to. </w:t>
      </w:r>
    </w:p>
    <w:p w:rsidR="009F09EB" w:rsidRDefault="009F09EB" w:rsidP="00013638">
      <w:pPr>
        <w:jc w:val="both"/>
        <w:rPr>
          <w:rFonts w:cs="Arial"/>
        </w:rPr>
      </w:pPr>
    </w:p>
    <w:p w:rsidR="009F09EB" w:rsidRDefault="009F09EB" w:rsidP="00013638">
      <w:pPr>
        <w:numPr>
          <w:ilvl w:val="0"/>
          <w:numId w:val="29"/>
        </w:numPr>
        <w:jc w:val="both"/>
        <w:rPr>
          <w:rFonts w:cs="Arial"/>
        </w:rPr>
      </w:pPr>
      <w:r>
        <w:rPr>
          <w:rFonts w:cs="Arial"/>
        </w:rPr>
        <w:t>Administration sets for blood and blood components should be changed when the transfusion episode is complete or every 12 hours (whichever is sooner), or according to manufacturer’s recommendations.</w:t>
      </w:r>
    </w:p>
    <w:p w:rsidR="009F09EB" w:rsidRDefault="009F09EB" w:rsidP="00013638">
      <w:pPr>
        <w:jc w:val="both"/>
        <w:rPr>
          <w:rFonts w:cs="Arial"/>
        </w:rPr>
      </w:pPr>
    </w:p>
    <w:p w:rsidR="009F09EB" w:rsidRDefault="009F09EB" w:rsidP="00013638">
      <w:pPr>
        <w:numPr>
          <w:ilvl w:val="0"/>
          <w:numId w:val="29"/>
        </w:numPr>
        <w:jc w:val="both"/>
        <w:rPr>
          <w:rFonts w:cs="Arial"/>
        </w:rPr>
      </w:pPr>
      <w:r>
        <w:rPr>
          <w:rFonts w:cs="Arial"/>
        </w:rPr>
        <w:t>Administration sets used for total parental nutrition infusions should generally be changed every 24 hours.</w:t>
      </w:r>
    </w:p>
    <w:p w:rsidR="009F09EB" w:rsidRDefault="009F09EB" w:rsidP="00013638">
      <w:pPr>
        <w:jc w:val="both"/>
        <w:rPr>
          <w:rFonts w:cs="Arial"/>
        </w:rPr>
      </w:pPr>
    </w:p>
    <w:p w:rsidR="009F09EB" w:rsidRDefault="009F09EB" w:rsidP="00013638">
      <w:pPr>
        <w:numPr>
          <w:ilvl w:val="0"/>
          <w:numId w:val="29"/>
        </w:numPr>
        <w:jc w:val="both"/>
        <w:rPr>
          <w:rFonts w:cs="Arial"/>
        </w:rPr>
      </w:pPr>
      <w:r>
        <w:rPr>
          <w:rFonts w:cs="Arial"/>
        </w:rPr>
        <w:t>A dedicated catheter lumen is needed for parenteral nutrition. Preferably, a single–lumen catheter should be used to administer parenteral nutrition. If a multi-lumen catheter is used, one port must be exclusively dedicated for nutrition and all lumens must be handled with the same meticulous attention to aseptic technique.</w:t>
      </w:r>
      <w:r w:rsidR="00AF6ADA">
        <w:rPr>
          <w:rFonts w:cs="Arial"/>
        </w:rPr>
        <w:t xml:space="preserve"> </w:t>
      </w:r>
      <w:r w:rsidR="00E145AD">
        <w:rPr>
          <w:rFonts w:cs="Arial"/>
        </w:rPr>
        <w:t>Particular parental solutions maybe degraded by light and requirement</w:t>
      </w:r>
      <w:r w:rsidR="00AF6ADA">
        <w:rPr>
          <w:rFonts w:cs="Arial"/>
        </w:rPr>
        <w:t xml:space="preserve"> </w:t>
      </w:r>
      <w:r w:rsidR="00E145AD">
        <w:rPr>
          <w:rFonts w:cs="Arial"/>
        </w:rPr>
        <w:t>for light protection should be established.</w:t>
      </w:r>
    </w:p>
    <w:p w:rsidR="00413878" w:rsidRDefault="00413878" w:rsidP="00413878">
      <w:pPr>
        <w:pStyle w:val="ListParagraph"/>
        <w:rPr>
          <w:rFonts w:cs="Arial"/>
        </w:rPr>
      </w:pPr>
    </w:p>
    <w:p w:rsidR="00413878" w:rsidRDefault="00413878" w:rsidP="00013638">
      <w:pPr>
        <w:numPr>
          <w:ilvl w:val="0"/>
          <w:numId w:val="29"/>
        </w:numPr>
        <w:jc w:val="both"/>
        <w:rPr>
          <w:rFonts w:cs="Arial"/>
        </w:rPr>
      </w:pPr>
      <w:r>
        <w:rPr>
          <w:rFonts w:cs="Arial"/>
        </w:rPr>
        <w:t>Use of a central venous catheter for contrast for radiological investigations is not generally recommende</w:t>
      </w:r>
      <w:r w:rsidR="0068531F">
        <w:rPr>
          <w:rFonts w:cs="Arial"/>
        </w:rPr>
        <w:t>d, manufacturer guidelines</w:t>
      </w:r>
      <w:r>
        <w:rPr>
          <w:rFonts w:cs="Arial"/>
        </w:rPr>
        <w:t xml:space="preserve"> should be consulted.</w:t>
      </w:r>
    </w:p>
    <w:p w:rsidR="009F09EB" w:rsidRDefault="009F09EB" w:rsidP="00013638">
      <w:pPr>
        <w:jc w:val="both"/>
        <w:rPr>
          <w:rFonts w:cs="Arial"/>
        </w:rPr>
      </w:pPr>
    </w:p>
    <w:p w:rsidR="009F09EB" w:rsidRDefault="009F09EB" w:rsidP="00013638">
      <w:pPr>
        <w:jc w:val="both"/>
        <w:rPr>
          <w:rFonts w:cs="Arial"/>
        </w:rPr>
      </w:pPr>
    </w:p>
    <w:p w:rsidR="009F09EB" w:rsidRDefault="009F09EB">
      <w:pPr>
        <w:rPr>
          <w:rFonts w:cs="Arial"/>
          <w:b/>
        </w:rPr>
      </w:pPr>
      <w:r>
        <w:rPr>
          <w:rFonts w:cs="Arial"/>
          <w:b/>
        </w:rPr>
        <w:t xml:space="preserve">Needle free devices </w:t>
      </w:r>
    </w:p>
    <w:p w:rsidR="009F09EB" w:rsidRDefault="009F09EB">
      <w:pPr>
        <w:rPr>
          <w:rFonts w:cs="Arial"/>
        </w:rPr>
      </w:pPr>
    </w:p>
    <w:p w:rsidR="009F09EB" w:rsidRDefault="009F09EB" w:rsidP="00013638">
      <w:pPr>
        <w:numPr>
          <w:ilvl w:val="0"/>
          <w:numId w:val="30"/>
        </w:numPr>
        <w:jc w:val="both"/>
        <w:rPr>
          <w:rFonts w:cs="Arial"/>
        </w:rPr>
      </w:pPr>
      <w:r>
        <w:rPr>
          <w:rFonts w:cs="Arial"/>
        </w:rPr>
        <w:t>The introduction of new intravascular devices that include needle-free devices should be monitored for an increase in the occurrence of device-associated infection. If an increase in infection rates is suspected this should be reported to the Medicines and Healthcare products Regulatory Agency (MHRA).</w:t>
      </w:r>
    </w:p>
    <w:p w:rsidR="009F09EB" w:rsidRDefault="009F09EB" w:rsidP="00013638">
      <w:pPr>
        <w:jc w:val="both"/>
        <w:rPr>
          <w:rFonts w:cs="Arial"/>
        </w:rPr>
      </w:pPr>
    </w:p>
    <w:p w:rsidR="009F09EB" w:rsidRDefault="009F09EB" w:rsidP="00013638">
      <w:pPr>
        <w:numPr>
          <w:ilvl w:val="0"/>
          <w:numId w:val="30"/>
        </w:numPr>
        <w:jc w:val="both"/>
        <w:rPr>
          <w:rFonts w:cs="Arial"/>
        </w:rPr>
      </w:pPr>
      <w:r>
        <w:rPr>
          <w:rFonts w:cs="Arial"/>
        </w:rPr>
        <w:t>If needle-free devices are used, the manufacturer’s recommendations for changing the needle-free components should be followed.</w:t>
      </w:r>
    </w:p>
    <w:p w:rsidR="009F09EB" w:rsidRDefault="009F09EB" w:rsidP="00013638">
      <w:pPr>
        <w:jc w:val="both"/>
        <w:rPr>
          <w:rFonts w:cs="Arial"/>
        </w:rPr>
      </w:pPr>
    </w:p>
    <w:p w:rsidR="009F09EB" w:rsidRDefault="009F09EB" w:rsidP="00013638">
      <w:pPr>
        <w:numPr>
          <w:ilvl w:val="0"/>
          <w:numId w:val="30"/>
        </w:numPr>
        <w:jc w:val="both"/>
        <w:rPr>
          <w:rFonts w:cs="Arial"/>
        </w:rPr>
      </w:pPr>
      <w:r>
        <w:rPr>
          <w:rFonts w:cs="Arial"/>
        </w:rPr>
        <w:t>When needle-free devices are used, healthcare workers should ensure that all components of the system are compatible and secured, to minimize leaks and breaks in the system.</w:t>
      </w:r>
      <w:r w:rsidR="00C66F80">
        <w:rPr>
          <w:rFonts w:cs="Arial"/>
        </w:rPr>
        <w:t xml:space="preserve">  Ensure the top / </w:t>
      </w:r>
      <w:r w:rsidR="00A62213">
        <w:rPr>
          <w:rFonts w:cs="Arial"/>
        </w:rPr>
        <w:t>septum</w:t>
      </w:r>
      <w:r w:rsidR="00C66F80">
        <w:rPr>
          <w:rFonts w:cs="Arial"/>
        </w:rPr>
        <w:t xml:space="preserve"> of the connector is not recessed within the housing. (Medical Alert MDA/2008/016</w:t>
      </w:r>
    </w:p>
    <w:p w:rsidR="00C66F80" w:rsidRDefault="00C66F80" w:rsidP="00013638">
      <w:pPr>
        <w:jc w:val="both"/>
        <w:rPr>
          <w:rFonts w:cs="Arial"/>
        </w:rPr>
      </w:pPr>
    </w:p>
    <w:p w:rsidR="00C66F80" w:rsidRDefault="00C66F80" w:rsidP="00013638">
      <w:pPr>
        <w:ind w:left="360"/>
        <w:jc w:val="both"/>
        <w:rPr>
          <w:rFonts w:cs="Arial"/>
        </w:rPr>
      </w:pPr>
    </w:p>
    <w:p w:rsidR="009F09EB" w:rsidRDefault="009F09EB" w:rsidP="00013638">
      <w:pPr>
        <w:numPr>
          <w:ilvl w:val="0"/>
          <w:numId w:val="30"/>
        </w:numPr>
        <w:jc w:val="both"/>
        <w:rPr>
          <w:rFonts w:cs="Arial"/>
        </w:rPr>
      </w:pPr>
      <w:r>
        <w:rPr>
          <w:rFonts w:cs="Arial"/>
        </w:rPr>
        <w:lastRenderedPageBreak/>
        <w:t>When needle-free devices are used the risk of contamination should be minimized by decontaminating the access port before and after use with a single patient use application of alcoholic chlorhexidine gluconate solution (preferably 2% chlorhexidine gluconate in 70% isopropyl alcohol) unless contraindicated by the manufacturer’s recommendations, in which case aqueous povidine iodine should be used.</w:t>
      </w:r>
    </w:p>
    <w:p w:rsidR="009F09EB" w:rsidRDefault="009F09EB">
      <w:pPr>
        <w:rPr>
          <w:rFonts w:cs="Arial"/>
          <w:b/>
        </w:rPr>
      </w:pPr>
      <w:r>
        <w:rPr>
          <w:rFonts w:cs="Arial"/>
          <w:b/>
        </w:rPr>
        <w:br w:type="page"/>
      </w:r>
      <w:r>
        <w:rPr>
          <w:rFonts w:cs="Arial"/>
          <w:b/>
        </w:rPr>
        <w:lastRenderedPageBreak/>
        <w:t>In line filters</w:t>
      </w:r>
    </w:p>
    <w:p w:rsidR="009F09EB" w:rsidRDefault="009F09EB">
      <w:pPr>
        <w:rPr>
          <w:rFonts w:cs="Arial"/>
          <w:b/>
        </w:rPr>
      </w:pPr>
    </w:p>
    <w:p w:rsidR="009F09EB" w:rsidRDefault="009F09EB" w:rsidP="00013638">
      <w:pPr>
        <w:numPr>
          <w:ilvl w:val="0"/>
          <w:numId w:val="30"/>
        </w:numPr>
        <w:jc w:val="both"/>
        <w:rPr>
          <w:rFonts w:cs="Arial"/>
        </w:rPr>
      </w:pPr>
      <w:r>
        <w:rPr>
          <w:rFonts w:cs="Arial"/>
        </w:rPr>
        <w:t>In-line filters should not be used routinely for infection prevention purposes</w:t>
      </w:r>
    </w:p>
    <w:p w:rsidR="009F09EB" w:rsidRDefault="009F09EB" w:rsidP="00013638">
      <w:pPr>
        <w:jc w:val="both"/>
        <w:rPr>
          <w:rFonts w:cs="Arial"/>
        </w:rPr>
      </w:pPr>
    </w:p>
    <w:p w:rsidR="009F09EB" w:rsidRDefault="009F09EB" w:rsidP="00013638">
      <w:pPr>
        <w:jc w:val="both"/>
        <w:rPr>
          <w:rFonts w:cs="Arial"/>
          <w:b/>
        </w:rPr>
      </w:pPr>
    </w:p>
    <w:p w:rsidR="009F09EB" w:rsidRDefault="009F09EB" w:rsidP="00013638">
      <w:pPr>
        <w:jc w:val="both"/>
        <w:rPr>
          <w:rFonts w:cs="Arial"/>
          <w:b/>
        </w:rPr>
      </w:pPr>
      <w:r>
        <w:rPr>
          <w:rFonts w:cs="Arial"/>
          <w:b/>
        </w:rPr>
        <w:t>Flushing and Anticoagulation</w:t>
      </w:r>
    </w:p>
    <w:p w:rsidR="009F09EB" w:rsidRDefault="009F09EB" w:rsidP="00013638">
      <w:pPr>
        <w:jc w:val="both"/>
        <w:rPr>
          <w:rFonts w:cs="Arial"/>
        </w:rPr>
      </w:pPr>
    </w:p>
    <w:p w:rsidR="002F1406" w:rsidRPr="002F1406" w:rsidRDefault="00F51664" w:rsidP="002F1406">
      <w:pPr>
        <w:numPr>
          <w:ilvl w:val="0"/>
          <w:numId w:val="30"/>
        </w:numPr>
        <w:jc w:val="both"/>
        <w:rPr>
          <w:rFonts w:cs="Arial"/>
        </w:rPr>
      </w:pPr>
      <w:r>
        <w:rPr>
          <w:rFonts w:cs="Arial"/>
        </w:rPr>
        <w:t>The catheter should</w:t>
      </w:r>
      <w:r w:rsidR="002F1406" w:rsidRPr="002F1406">
        <w:rPr>
          <w:rFonts w:cs="Arial"/>
        </w:rPr>
        <w:t xml:space="preserve"> be flushed at established intervals to</w:t>
      </w:r>
      <w:r w:rsidR="002F1406">
        <w:rPr>
          <w:rFonts w:cs="Arial"/>
        </w:rPr>
        <w:t xml:space="preserve"> </w:t>
      </w:r>
      <w:r w:rsidR="002F1406" w:rsidRPr="002F1406">
        <w:rPr>
          <w:rFonts w:cs="Arial"/>
        </w:rPr>
        <w:t>promote and maintain patency and to prevent the mixing of</w:t>
      </w:r>
      <w:r w:rsidR="002F1406">
        <w:rPr>
          <w:rFonts w:cs="Arial"/>
        </w:rPr>
        <w:t xml:space="preserve"> </w:t>
      </w:r>
      <w:r w:rsidR="002F1406" w:rsidRPr="002F1406">
        <w:rPr>
          <w:rFonts w:cs="Arial"/>
        </w:rPr>
        <w:t>incompatible medications and/or solutions.</w:t>
      </w:r>
      <w:r w:rsidR="00987788">
        <w:rPr>
          <w:rFonts w:cs="Arial"/>
        </w:rPr>
        <w:t xml:space="preserve"> SOP for central venous line flushing (appendix 3).</w:t>
      </w:r>
    </w:p>
    <w:p w:rsidR="002F1406" w:rsidRDefault="002F1406" w:rsidP="002F1406">
      <w:pPr>
        <w:ind w:left="720"/>
        <w:jc w:val="both"/>
        <w:rPr>
          <w:rFonts w:cs="Arial"/>
        </w:rPr>
      </w:pPr>
    </w:p>
    <w:p w:rsidR="009F09EB" w:rsidRDefault="009F09EB" w:rsidP="00013638">
      <w:pPr>
        <w:numPr>
          <w:ilvl w:val="0"/>
          <w:numId w:val="30"/>
        </w:numPr>
        <w:jc w:val="both"/>
        <w:rPr>
          <w:rFonts w:cs="Arial"/>
        </w:rPr>
      </w:pPr>
      <w:r>
        <w:rPr>
          <w:rFonts w:cs="Arial"/>
        </w:rPr>
        <w:t>Preferably, sterile 0.9% sodium chloride for injection should be used to flush and lock catheter lumens that are in frequent use.</w:t>
      </w:r>
      <w:r w:rsidR="00756832">
        <w:rPr>
          <w:rFonts w:cs="Arial"/>
        </w:rPr>
        <w:t>-</w:t>
      </w:r>
    </w:p>
    <w:p w:rsidR="00F51664" w:rsidRDefault="00F51664" w:rsidP="00F51664">
      <w:pPr>
        <w:pStyle w:val="ListParagraph"/>
        <w:rPr>
          <w:rFonts w:cs="Arial"/>
        </w:rPr>
      </w:pPr>
    </w:p>
    <w:p w:rsidR="00F51664" w:rsidRPr="00F51664" w:rsidRDefault="00F51664" w:rsidP="00F51664">
      <w:pPr>
        <w:numPr>
          <w:ilvl w:val="0"/>
          <w:numId w:val="30"/>
        </w:numPr>
        <w:jc w:val="both"/>
        <w:rPr>
          <w:rFonts w:cs="Arial"/>
        </w:rPr>
      </w:pPr>
      <w:r w:rsidRPr="00F51664">
        <w:rPr>
          <w:rFonts w:cs="Arial"/>
        </w:rPr>
        <w:t>The volume of the flush solution should be equal to at</w:t>
      </w:r>
      <w:r>
        <w:rPr>
          <w:rFonts w:cs="Arial"/>
        </w:rPr>
        <w:t xml:space="preserve"> </w:t>
      </w:r>
      <w:r w:rsidRPr="00F51664">
        <w:rPr>
          <w:rFonts w:cs="Arial"/>
        </w:rPr>
        <w:t>least twice the volume of the catheter and add-on devices</w:t>
      </w:r>
      <w:r>
        <w:rPr>
          <w:rFonts w:cs="Arial"/>
        </w:rPr>
        <w:t xml:space="preserve"> </w:t>
      </w:r>
      <w:r w:rsidRPr="00F51664">
        <w:rPr>
          <w:rFonts w:cs="Arial"/>
        </w:rPr>
        <w:t>– usually 5–10 ml</w:t>
      </w:r>
      <w:r>
        <w:rPr>
          <w:rFonts w:cs="Arial"/>
        </w:rPr>
        <w:t>s</w:t>
      </w:r>
      <w:r w:rsidRPr="00F51664">
        <w:rPr>
          <w:rFonts w:cs="Arial"/>
        </w:rPr>
        <w:t>.</w:t>
      </w:r>
    </w:p>
    <w:p w:rsidR="002F1406" w:rsidRDefault="002F1406" w:rsidP="002F1406">
      <w:pPr>
        <w:jc w:val="both"/>
        <w:rPr>
          <w:rFonts w:cs="Arial"/>
        </w:rPr>
      </w:pPr>
    </w:p>
    <w:p w:rsidR="002F1406" w:rsidRPr="002F1406" w:rsidRDefault="002F1406" w:rsidP="002F1406">
      <w:pPr>
        <w:pStyle w:val="ListParagraph"/>
        <w:numPr>
          <w:ilvl w:val="0"/>
          <w:numId w:val="30"/>
        </w:numPr>
        <w:jc w:val="both"/>
        <w:rPr>
          <w:rFonts w:cs="Arial"/>
        </w:rPr>
      </w:pPr>
      <w:r w:rsidRPr="002F1406">
        <w:rPr>
          <w:rFonts w:cs="Arial"/>
        </w:rPr>
        <w:t>Frequency of flushing should be 8 hourly for short term central venous catheters</w:t>
      </w:r>
      <w:r>
        <w:rPr>
          <w:rFonts w:cs="Arial"/>
        </w:rPr>
        <w:t xml:space="preserve"> </w:t>
      </w:r>
      <w:r w:rsidRPr="002F1406">
        <w:rPr>
          <w:rFonts w:cs="Arial"/>
        </w:rPr>
        <w:t>and weekly for long term central venous access devices</w:t>
      </w:r>
      <w:r>
        <w:rPr>
          <w:rFonts w:cs="Arial"/>
        </w:rPr>
        <w:t xml:space="preserve"> </w:t>
      </w:r>
      <w:r w:rsidRPr="002F1406">
        <w:rPr>
          <w:rFonts w:cs="Arial"/>
        </w:rPr>
        <w:t>unless occlu</w:t>
      </w:r>
      <w:r>
        <w:rPr>
          <w:rFonts w:cs="Arial"/>
        </w:rPr>
        <w:t>sive problems indicate more frequent re</w:t>
      </w:r>
      <w:r w:rsidR="00F51664">
        <w:rPr>
          <w:rFonts w:cs="Arial"/>
        </w:rPr>
        <w:t>q</w:t>
      </w:r>
      <w:r>
        <w:rPr>
          <w:rFonts w:cs="Arial"/>
        </w:rPr>
        <w:t>uirement.</w:t>
      </w:r>
    </w:p>
    <w:p w:rsidR="009F09EB" w:rsidRDefault="009F09EB" w:rsidP="00013638">
      <w:pPr>
        <w:jc w:val="both"/>
        <w:rPr>
          <w:rFonts w:cs="Arial"/>
        </w:rPr>
      </w:pPr>
    </w:p>
    <w:p w:rsidR="009F09EB" w:rsidRDefault="009F09EB" w:rsidP="00013638">
      <w:pPr>
        <w:numPr>
          <w:ilvl w:val="0"/>
          <w:numId w:val="30"/>
        </w:numPr>
        <w:jc w:val="both"/>
        <w:rPr>
          <w:rFonts w:cs="Arial"/>
        </w:rPr>
      </w:pPr>
      <w:r>
        <w:rPr>
          <w:rFonts w:cs="Arial"/>
        </w:rPr>
        <w:t>When recommended by the manufacturer, implanted ports or open-ended catheter lumens should be flushed and locked with heparin sodium flush solution.</w:t>
      </w:r>
    </w:p>
    <w:p w:rsidR="009F09EB" w:rsidRDefault="009F09EB" w:rsidP="00013638">
      <w:pPr>
        <w:jc w:val="both"/>
        <w:rPr>
          <w:rFonts w:cs="Arial"/>
        </w:rPr>
      </w:pPr>
    </w:p>
    <w:p w:rsidR="009F09EB" w:rsidRDefault="009F09EB" w:rsidP="00013638">
      <w:pPr>
        <w:numPr>
          <w:ilvl w:val="0"/>
          <w:numId w:val="30"/>
        </w:numPr>
        <w:jc w:val="both"/>
        <w:rPr>
          <w:rFonts w:cs="Arial"/>
        </w:rPr>
      </w:pPr>
      <w:r>
        <w:rPr>
          <w:rFonts w:cs="Arial"/>
        </w:rPr>
        <w:t>Therapeutic systemic anticoagulation should not be used as a strategy of itself to prevent catheter-related blood stream infection.</w:t>
      </w:r>
    </w:p>
    <w:p w:rsidR="009F09EB" w:rsidRDefault="009F09EB">
      <w:pPr>
        <w:rPr>
          <w:rFonts w:cs="Arial"/>
        </w:rPr>
      </w:pPr>
    </w:p>
    <w:p w:rsidR="009F09EB" w:rsidRDefault="009F09EB">
      <w:pPr>
        <w:rPr>
          <w:rFonts w:cs="Arial"/>
        </w:rPr>
      </w:pPr>
    </w:p>
    <w:p w:rsidR="009F09EB" w:rsidRDefault="00ED15DF">
      <w:pPr>
        <w:rPr>
          <w:rFonts w:cs="Arial"/>
          <w:b/>
        </w:rPr>
      </w:pPr>
      <w:r>
        <w:rPr>
          <w:rFonts w:cs="Arial"/>
          <w:b/>
        </w:rPr>
        <w:t>Replacing Central Venous Catheters</w:t>
      </w:r>
    </w:p>
    <w:p w:rsidR="00ED15DF" w:rsidRDefault="00ED15DF" w:rsidP="00ED15DF">
      <w:pPr>
        <w:rPr>
          <w:rFonts w:cs="Arial"/>
          <w:b/>
        </w:rPr>
      </w:pPr>
    </w:p>
    <w:p w:rsidR="00ED15DF" w:rsidRDefault="00ED15DF" w:rsidP="00ED15DF">
      <w:pPr>
        <w:pStyle w:val="ListParagraph"/>
        <w:numPr>
          <w:ilvl w:val="0"/>
          <w:numId w:val="40"/>
        </w:numPr>
      </w:pPr>
      <w:r>
        <w:t>Daily consideration on the continued need for central venous access by medical staff is essential</w:t>
      </w:r>
      <w:r w:rsidR="00346645">
        <w:t xml:space="preserve">. SOP </w:t>
      </w:r>
      <w:r w:rsidR="00987788">
        <w:t>for CVC line removal (appendix 4</w:t>
      </w:r>
      <w:r w:rsidR="00346645">
        <w:t>).</w:t>
      </w:r>
    </w:p>
    <w:p w:rsidR="00ED15DF" w:rsidRDefault="00ED15DF" w:rsidP="00ED15DF"/>
    <w:p w:rsidR="00ED15DF" w:rsidRDefault="00ED15DF" w:rsidP="00ED15DF">
      <w:pPr>
        <w:pStyle w:val="ListParagraph"/>
        <w:numPr>
          <w:ilvl w:val="0"/>
          <w:numId w:val="40"/>
        </w:numPr>
      </w:pPr>
      <w:r>
        <w:t>Indication for removal should be clearly documented in the patient chart and high impact intervention chart.</w:t>
      </w:r>
    </w:p>
    <w:p w:rsidR="00ED15DF" w:rsidRDefault="00ED15DF" w:rsidP="00ED15DF"/>
    <w:p w:rsidR="00ED15DF" w:rsidRDefault="00ED15DF" w:rsidP="00ED15DF">
      <w:pPr>
        <w:pStyle w:val="ListParagraph"/>
        <w:numPr>
          <w:ilvl w:val="0"/>
          <w:numId w:val="40"/>
        </w:numPr>
      </w:pPr>
      <w:r>
        <w:t>Potential active indications for removal include:</w:t>
      </w:r>
    </w:p>
    <w:p w:rsidR="00ED15DF" w:rsidRDefault="00ED15DF" w:rsidP="00ED15DF">
      <w:pPr>
        <w:ind w:left="1080"/>
      </w:pPr>
    </w:p>
    <w:p w:rsidR="00ED15DF" w:rsidRDefault="00ED15DF" w:rsidP="00ED15DF">
      <w:pPr>
        <w:ind w:left="1080"/>
      </w:pPr>
      <w:r w:rsidRPr="002B4BBA">
        <w:t>Unresolved catheter related complications of infection, occlusion or thrombosis</w:t>
      </w:r>
      <w:r>
        <w:t>.</w:t>
      </w:r>
    </w:p>
    <w:p w:rsidR="00ED15DF" w:rsidRDefault="00ED15DF" w:rsidP="00ED15DF">
      <w:pPr>
        <w:ind w:left="360" w:firstLine="720"/>
      </w:pPr>
      <w:r>
        <w:t>F</w:t>
      </w:r>
      <w:r w:rsidRPr="002B4BBA">
        <w:t>aulty device</w:t>
      </w:r>
    </w:p>
    <w:p w:rsidR="00ED15DF" w:rsidRDefault="00ED15DF" w:rsidP="00ED15DF">
      <w:pPr>
        <w:ind w:left="1080"/>
      </w:pPr>
      <w:r>
        <w:t>Specific blood stream bacterial or fungal infections may necessitate line removal and should be discussed with microbiology</w:t>
      </w:r>
    </w:p>
    <w:p w:rsidR="00ED15DF" w:rsidRDefault="00ED15DF" w:rsidP="00ED15DF">
      <w:pPr>
        <w:ind w:left="360" w:firstLine="720"/>
        <w:rPr>
          <w:rFonts w:cs="Arial"/>
          <w:b/>
        </w:rPr>
      </w:pPr>
      <w:r>
        <w:t>A</w:t>
      </w:r>
      <w:r w:rsidRPr="002B4BBA">
        <w:t>t the direction of the medical staff</w:t>
      </w:r>
    </w:p>
    <w:p w:rsidR="009F09EB" w:rsidRDefault="009F09EB">
      <w:pPr>
        <w:rPr>
          <w:rFonts w:cs="Arial"/>
        </w:rPr>
      </w:pPr>
    </w:p>
    <w:p w:rsidR="009F09EB" w:rsidRDefault="009F09EB" w:rsidP="00013638">
      <w:pPr>
        <w:numPr>
          <w:ilvl w:val="0"/>
          <w:numId w:val="31"/>
        </w:numPr>
        <w:ind w:left="714" w:hanging="357"/>
        <w:jc w:val="both"/>
        <w:rPr>
          <w:rFonts w:cs="Arial"/>
        </w:rPr>
      </w:pPr>
      <w:r>
        <w:rPr>
          <w:rFonts w:cs="Arial"/>
        </w:rPr>
        <w:lastRenderedPageBreak/>
        <w:t>Do not routinely replace catheters as a method to prevent catheter related infection.</w:t>
      </w:r>
    </w:p>
    <w:p w:rsidR="009F09EB" w:rsidRDefault="009F09EB" w:rsidP="00013638">
      <w:pPr>
        <w:jc w:val="both"/>
        <w:rPr>
          <w:rFonts w:cs="Arial"/>
        </w:rPr>
      </w:pPr>
    </w:p>
    <w:p w:rsidR="009F09EB" w:rsidRDefault="00896362" w:rsidP="00013638">
      <w:pPr>
        <w:numPr>
          <w:ilvl w:val="0"/>
          <w:numId w:val="31"/>
        </w:numPr>
        <w:jc w:val="both"/>
        <w:rPr>
          <w:rFonts w:cs="Arial"/>
        </w:rPr>
      </w:pPr>
      <w:r>
        <w:rPr>
          <w:rFonts w:cs="Arial"/>
        </w:rPr>
        <w:t>Do not routinely u</w:t>
      </w:r>
      <w:r w:rsidR="009F09EB">
        <w:rPr>
          <w:rFonts w:cs="Arial"/>
        </w:rPr>
        <w:t>se guidewire-assisted exchange to replace malfunctioning catheters, o</w:t>
      </w:r>
      <w:r>
        <w:rPr>
          <w:rFonts w:cs="Arial"/>
        </w:rPr>
        <w:t>r to exchange existing catheter.</w:t>
      </w:r>
      <w:r w:rsidR="00CF4A17">
        <w:rPr>
          <w:rFonts w:cs="Arial"/>
        </w:rPr>
        <w:t xml:space="preserve"> </w:t>
      </w:r>
      <w:r w:rsidR="00E875ED">
        <w:rPr>
          <w:rFonts w:cs="Arial"/>
        </w:rPr>
        <w:t>Should a guidewire assisted exchange become necessary the reason should be clearly documented.</w:t>
      </w:r>
    </w:p>
    <w:p w:rsidR="009F09EB" w:rsidRDefault="009F09EB" w:rsidP="00013638">
      <w:pPr>
        <w:jc w:val="both"/>
        <w:rPr>
          <w:rFonts w:cs="Arial"/>
        </w:rPr>
      </w:pPr>
    </w:p>
    <w:p w:rsidR="009F09EB" w:rsidRDefault="009F09EB" w:rsidP="00013638">
      <w:pPr>
        <w:numPr>
          <w:ilvl w:val="0"/>
          <w:numId w:val="31"/>
        </w:numPr>
        <w:jc w:val="both"/>
        <w:rPr>
          <w:rFonts w:cs="Arial"/>
        </w:rPr>
      </w:pPr>
      <w:r>
        <w:rPr>
          <w:rFonts w:cs="Arial"/>
        </w:rPr>
        <w:t>Do not use guide wire assisted catheter exchange for patients with suspected or proven catheter related infection. If continued vascular access is required, remove the implicated catheter, and replace it with another catheter at a different site.</w:t>
      </w:r>
    </w:p>
    <w:p w:rsidR="009F09EB" w:rsidRDefault="009F09EB" w:rsidP="00013638">
      <w:pPr>
        <w:jc w:val="both"/>
        <w:rPr>
          <w:rFonts w:cs="Arial"/>
        </w:rPr>
      </w:pPr>
    </w:p>
    <w:p w:rsidR="009F09EB" w:rsidRDefault="009F09EB" w:rsidP="00013638">
      <w:pPr>
        <w:numPr>
          <w:ilvl w:val="0"/>
          <w:numId w:val="31"/>
        </w:numPr>
        <w:jc w:val="both"/>
        <w:rPr>
          <w:rFonts w:cs="Arial"/>
        </w:rPr>
      </w:pPr>
      <w:r>
        <w:rPr>
          <w:rFonts w:cs="Arial"/>
        </w:rPr>
        <w:t xml:space="preserve">Replace all fluid administration tubing and connectors when the central venous access device is replaced. </w:t>
      </w:r>
    </w:p>
    <w:p w:rsidR="00CA60DC" w:rsidRDefault="009F09EB" w:rsidP="00CA60DC">
      <w:pPr>
        <w:rPr>
          <w:rFonts w:cs="Arial"/>
          <w:b/>
        </w:rPr>
      </w:pPr>
      <w:r>
        <w:rPr>
          <w:rFonts w:cs="Arial"/>
        </w:rPr>
        <w:br w:type="page"/>
      </w:r>
      <w:r w:rsidR="00CA60DC" w:rsidRPr="00CA60DC">
        <w:rPr>
          <w:rFonts w:cs="Arial"/>
          <w:b/>
        </w:rPr>
        <w:lastRenderedPageBreak/>
        <w:t xml:space="preserve">System interventions to reduce catheter-related infection </w:t>
      </w:r>
    </w:p>
    <w:p w:rsidR="00CA60DC" w:rsidRDefault="00CA60DC" w:rsidP="00CA60DC">
      <w:pPr>
        <w:rPr>
          <w:rFonts w:cs="Arial"/>
          <w:b/>
        </w:rPr>
      </w:pPr>
    </w:p>
    <w:p w:rsidR="00126FA6" w:rsidRPr="00126FA6" w:rsidRDefault="00CA60DC" w:rsidP="00126FA6">
      <w:pPr>
        <w:rPr>
          <w:rFonts w:cs="Arial"/>
        </w:rPr>
      </w:pPr>
      <w:r w:rsidRPr="00CA60DC">
        <w:rPr>
          <w:rFonts w:cs="Arial"/>
        </w:rPr>
        <w:t>Department of Health</w:t>
      </w:r>
      <w:r w:rsidR="00126FA6">
        <w:rPr>
          <w:rFonts w:cs="Arial"/>
        </w:rPr>
        <w:t xml:space="preserve"> has</w:t>
      </w:r>
      <w:r w:rsidRPr="00CA60DC">
        <w:rPr>
          <w:rFonts w:cs="Arial"/>
        </w:rPr>
        <w:t xml:space="preserve"> issued a series of high impact interventions</w:t>
      </w:r>
      <w:r w:rsidR="00126FA6">
        <w:rPr>
          <w:rFonts w:cs="Arial"/>
        </w:rPr>
        <w:t xml:space="preserve">. </w:t>
      </w:r>
      <w:r w:rsidR="00126FA6" w:rsidRPr="00126FA6">
        <w:rPr>
          <w:rFonts w:cs="Arial"/>
        </w:rPr>
        <w:t>The intervention for the prevention</w:t>
      </w:r>
      <w:r w:rsidR="00126FA6">
        <w:rPr>
          <w:rFonts w:cs="Arial"/>
        </w:rPr>
        <w:t xml:space="preserve"> </w:t>
      </w:r>
      <w:r w:rsidR="00126FA6" w:rsidRPr="00126FA6">
        <w:rPr>
          <w:rFonts w:cs="Arial"/>
        </w:rPr>
        <w:t>of infection associat</w:t>
      </w:r>
      <w:r w:rsidR="00126FA6">
        <w:rPr>
          <w:rFonts w:cs="Arial"/>
        </w:rPr>
        <w:t>ed with the use of IVDs includes</w:t>
      </w:r>
      <w:r w:rsidR="00126FA6" w:rsidRPr="00126FA6">
        <w:rPr>
          <w:rFonts w:cs="Arial"/>
        </w:rPr>
        <w:t xml:space="preserve"> six key</w:t>
      </w:r>
      <w:r w:rsidR="00126FA6">
        <w:rPr>
          <w:rFonts w:cs="Arial"/>
        </w:rPr>
        <w:t xml:space="preserve"> </w:t>
      </w:r>
      <w:r w:rsidR="00126FA6" w:rsidRPr="00126FA6">
        <w:rPr>
          <w:rFonts w:cs="Arial"/>
        </w:rPr>
        <w:t>interventions often referred to as a ‘care bundle’, together</w:t>
      </w:r>
    </w:p>
    <w:p w:rsidR="00126FA6" w:rsidRDefault="00126FA6" w:rsidP="00126FA6">
      <w:pPr>
        <w:rPr>
          <w:rFonts w:cs="Arial"/>
        </w:rPr>
      </w:pPr>
      <w:r w:rsidRPr="00126FA6">
        <w:rPr>
          <w:rFonts w:cs="Arial"/>
        </w:rPr>
        <w:t xml:space="preserve">with audit tools to measure adherence. </w:t>
      </w:r>
    </w:p>
    <w:p w:rsidR="00126FA6" w:rsidRDefault="00126FA6" w:rsidP="00126FA6">
      <w:pPr>
        <w:rPr>
          <w:rFonts w:cs="Arial"/>
        </w:rPr>
      </w:pPr>
    </w:p>
    <w:p w:rsidR="00126FA6" w:rsidRPr="00126FA6" w:rsidRDefault="00126FA6" w:rsidP="00126FA6">
      <w:pPr>
        <w:rPr>
          <w:rFonts w:cs="Arial"/>
        </w:rPr>
      </w:pPr>
      <w:r w:rsidRPr="00126FA6">
        <w:rPr>
          <w:rFonts w:cs="Arial"/>
        </w:rPr>
        <w:t>These six practices</w:t>
      </w:r>
      <w:r>
        <w:rPr>
          <w:rFonts w:cs="Arial"/>
        </w:rPr>
        <w:t xml:space="preserve"> includes</w:t>
      </w:r>
      <w:r w:rsidRPr="00126FA6">
        <w:rPr>
          <w:rFonts w:cs="Arial"/>
        </w:rPr>
        <w:t>:</w:t>
      </w:r>
    </w:p>
    <w:p w:rsidR="00126FA6" w:rsidRPr="00126FA6" w:rsidRDefault="00126FA6" w:rsidP="00126FA6">
      <w:pPr>
        <w:rPr>
          <w:rFonts w:cs="Arial"/>
        </w:rPr>
      </w:pPr>
      <w:r w:rsidRPr="00126FA6">
        <w:rPr>
          <w:rFonts w:cs="Arial"/>
        </w:rPr>
        <w:t>• aseptic insertion of an appropriate device;</w:t>
      </w:r>
    </w:p>
    <w:p w:rsidR="00126FA6" w:rsidRPr="00126FA6" w:rsidRDefault="00126FA6" w:rsidP="00126FA6">
      <w:pPr>
        <w:rPr>
          <w:rFonts w:cs="Arial"/>
        </w:rPr>
      </w:pPr>
      <w:r w:rsidRPr="00126FA6">
        <w:rPr>
          <w:rFonts w:cs="Arial"/>
        </w:rPr>
        <w:t>• correct siting of the device;</w:t>
      </w:r>
    </w:p>
    <w:p w:rsidR="00126FA6" w:rsidRPr="00126FA6" w:rsidRDefault="00126FA6" w:rsidP="00126FA6">
      <w:pPr>
        <w:rPr>
          <w:rFonts w:cs="Arial"/>
        </w:rPr>
      </w:pPr>
      <w:r w:rsidRPr="00126FA6">
        <w:rPr>
          <w:rFonts w:cs="Arial"/>
        </w:rPr>
        <w:t>• effective cutaneous antisepsis;</w:t>
      </w:r>
      <w:r>
        <w:rPr>
          <w:rFonts w:cs="Arial"/>
        </w:rPr>
        <w:t xml:space="preserve"> </w:t>
      </w:r>
      <w:r w:rsidRPr="00126FA6">
        <w:rPr>
          <w:rFonts w:cs="Arial"/>
        </w:rPr>
        <w:t>and for continuing care of the device:</w:t>
      </w:r>
    </w:p>
    <w:p w:rsidR="00126FA6" w:rsidRPr="00126FA6" w:rsidRDefault="00126FA6" w:rsidP="00126FA6">
      <w:pPr>
        <w:rPr>
          <w:rFonts w:cs="Arial"/>
        </w:rPr>
      </w:pPr>
      <w:r w:rsidRPr="00126FA6">
        <w:rPr>
          <w:rFonts w:cs="Arial"/>
        </w:rPr>
        <w:t>• hand decontamination and asepsis for any contact with the</w:t>
      </w:r>
      <w:r>
        <w:rPr>
          <w:rFonts w:cs="Arial"/>
        </w:rPr>
        <w:t xml:space="preserve"> </w:t>
      </w:r>
      <w:r w:rsidRPr="00126FA6">
        <w:rPr>
          <w:rFonts w:cs="Arial"/>
        </w:rPr>
        <w:t>device;</w:t>
      </w:r>
    </w:p>
    <w:p w:rsidR="00126FA6" w:rsidRPr="00126FA6" w:rsidRDefault="00126FA6" w:rsidP="00126FA6">
      <w:pPr>
        <w:rPr>
          <w:rFonts w:cs="Arial"/>
        </w:rPr>
      </w:pPr>
      <w:r w:rsidRPr="00126FA6">
        <w:rPr>
          <w:rFonts w:cs="Arial"/>
        </w:rPr>
        <w:t>• daily observation of the insertion site; and</w:t>
      </w:r>
    </w:p>
    <w:p w:rsidR="00CA60DC" w:rsidRDefault="00126FA6" w:rsidP="00126FA6">
      <w:pPr>
        <w:rPr>
          <w:rFonts w:cs="Arial"/>
        </w:rPr>
      </w:pPr>
      <w:r w:rsidRPr="00126FA6">
        <w:rPr>
          <w:rFonts w:cs="Arial"/>
        </w:rPr>
        <w:t>• clean, intact dressing.</w:t>
      </w:r>
      <w:r w:rsidR="00CA60DC">
        <w:rPr>
          <w:rFonts w:cs="Arial"/>
        </w:rPr>
        <w:t xml:space="preserve"> </w:t>
      </w:r>
    </w:p>
    <w:p w:rsidR="00126FA6" w:rsidRDefault="00126FA6" w:rsidP="00126FA6">
      <w:pPr>
        <w:rPr>
          <w:rFonts w:cs="Arial"/>
        </w:rPr>
      </w:pPr>
    </w:p>
    <w:p w:rsidR="00126FA6" w:rsidRPr="00126FA6" w:rsidRDefault="00126FA6" w:rsidP="00126FA6">
      <w:pPr>
        <w:pStyle w:val="ListParagraph"/>
        <w:numPr>
          <w:ilvl w:val="0"/>
          <w:numId w:val="41"/>
        </w:numPr>
        <w:rPr>
          <w:rFonts w:cs="Arial"/>
        </w:rPr>
      </w:pPr>
      <w:r w:rsidRPr="00126FA6">
        <w:rPr>
          <w:rFonts w:cs="Arial"/>
        </w:rPr>
        <w:t>Use quality improvement interventions</w:t>
      </w:r>
      <w:r>
        <w:rPr>
          <w:rFonts w:cs="Arial"/>
        </w:rPr>
        <w:t xml:space="preserve"> </w:t>
      </w:r>
      <w:r w:rsidRPr="00126FA6">
        <w:rPr>
          <w:rFonts w:cs="Arial"/>
        </w:rPr>
        <w:t>to support the appropriate use and</w:t>
      </w:r>
      <w:r>
        <w:rPr>
          <w:rFonts w:cs="Arial"/>
        </w:rPr>
        <w:t xml:space="preserve"> </w:t>
      </w:r>
      <w:r w:rsidRPr="00126FA6">
        <w:rPr>
          <w:rFonts w:cs="Arial"/>
        </w:rPr>
        <w:t>management of intravascular access</w:t>
      </w:r>
      <w:r>
        <w:rPr>
          <w:rFonts w:cs="Arial"/>
        </w:rPr>
        <w:t xml:space="preserve"> </w:t>
      </w:r>
      <w:r w:rsidRPr="00126FA6">
        <w:rPr>
          <w:rFonts w:cs="Arial"/>
        </w:rPr>
        <w:t>devices (central and peripheral venous</w:t>
      </w:r>
      <w:r>
        <w:rPr>
          <w:rFonts w:cs="Arial"/>
        </w:rPr>
        <w:t xml:space="preserve"> </w:t>
      </w:r>
      <w:r w:rsidRPr="00126FA6">
        <w:rPr>
          <w:rFonts w:cs="Arial"/>
        </w:rPr>
        <w:t>catheters) and ensure their timely</w:t>
      </w:r>
      <w:r>
        <w:rPr>
          <w:rFonts w:cs="Arial"/>
        </w:rPr>
        <w:t xml:space="preserve"> </w:t>
      </w:r>
      <w:r w:rsidRPr="00126FA6">
        <w:rPr>
          <w:rFonts w:cs="Arial"/>
        </w:rPr>
        <w:t>removal. These may include:</w:t>
      </w:r>
    </w:p>
    <w:p w:rsidR="00126FA6" w:rsidRPr="00126FA6" w:rsidRDefault="00126FA6" w:rsidP="00126FA6">
      <w:pPr>
        <w:ind w:left="720" w:firstLine="720"/>
        <w:rPr>
          <w:rFonts w:cs="Arial"/>
        </w:rPr>
      </w:pPr>
      <w:r w:rsidRPr="00126FA6">
        <w:rPr>
          <w:rFonts w:cs="Arial"/>
        </w:rPr>
        <w:t>• protocols for device insertion and maintenance;</w:t>
      </w:r>
    </w:p>
    <w:p w:rsidR="00126FA6" w:rsidRPr="00126FA6" w:rsidRDefault="00126FA6" w:rsidP="00126FA6">
      <w:pPr>
        <w:ind w:left="1440"/>
        <w:rPr>
          <w:rFonts w:cs="Arial"/>
        </w:rPr>
      </w:pPr>
      <w:r w:rsidRPr="00126FA6">
        <w:rPr>
          <w:rFonts w:cs="Arial"/>
        </w:rPr>
        <w:t>• reminders to review the continuing</w:t>
      </w:r>
      <w:r>
        <w:rPr>
          <w:rFonts w:cs="Arial"/>
        </w:rPr>
        <w:t xml:space="preserve"> use or prompt the removal </w:t>
      </w:r>
      <w:r w:rsidRPr="00126FA6">
        <w:rPr>
          <w:rFonts w:cs="Arial"/>
        </w:rPr>
        <w:t>of</w:t>
      </w:r>
      <w:r>
        <w:rPr>
          <w:rFonts w:cs="Arial"/>
        </w:rPr>
        <w:t xml:space="preserve"> </w:t>
      </w:r>
      <w:r w:rsidRPr="00126FA6">
        <w:rPr>
          <w:rFonts w:cs="Arial"/>
        </w:rPr>
        <w:t>intravascular devices;</w:t>
      </w:r>
    </w:p>
    <w:p w:rsidR="00126FA6" w:rsidRPr="00126FA6" w:rsidRDefault="00126FA6" w:rsidP="00126FA6">
      <w:pPr>
        <w:ind w:left="720" w:firstLine="720"/>
        <w:rPr>
          <w:rFonts w:cs="Arial"/>
        </w:rPr>
      </w:pPr>
      <w:r w:rsidRPr="00126FA6">
        <w:rPr>
          <w:rFonts w:cs="Arial"/>
        </w:rPr>
        <w:t>• audit and feedback of compliance</w:t>
      </w:r>
      <w:r>
        <w:rPr>
          <w:rFonts w:cs="Arial"/>
        </w:rPr>
        <w:t xml:space="preserve"> </w:t>
      </w:r>
      <w:r w:rsidRPr="00126FA6">
        <w:rPr>
          <w:rFonts w:cs="Arial"/>
        </w:rPr>
        <w:t>with practice guidelines; and</w:t>
      </w:r>
    </w:p>
    <w:p w:rsidR="00126FA6" w:rsidRPr="00126FA6" w:rsidRDefault="00126FA6" w:rsidP="00126FA6">
      <w:pPr>
        <w:ind w:left="720" w:firstLine="720"/>
        <w:rPr>
          <w:rFonts w:cs="Arial"/>
        </w:rPr>
      </w:pPr>
      <w:r w:rsidRPr="00126FA6">
        <w:rPr>
          <w:rFonts w:cs="Arial"/>
        </w:rPr>
        <w:t>• continuing professional education.</w:t>
      </w:r>
    </w:p>
    <w:p w:rsidR="00CA60DC" w:rsidRDefault="00CA60DC" w:rsidP="00CA60DC">
      <w:pPr>
        <w:rPr>
          <w:rFonts w:cs="Arial"/>
          <w:b/>
        </w:rPr>
      </w:pPr>
    </w:p>
    <w:p w:rsidR="00126FA6" w:rsidRDefault="00126FA6" w:rsidP="00CA60DC">
      <w:pPr>
        <w:rPr>
          <w:rFonts w:cs="Arial"/>
          <w:b/>
        </w:rPr>
      </w:pPr>
    </w:p>
    <w:p w:rsidR="009F09EB" w:rsidRDefault="009F09EB" w:rsidP="00CA60DC">
      <w:pPr>
        <w:rPr>
          <w:rFonts w:cs="Arial"/>
          <w:b/>
        </w:rPr>
      </w:pPr>
      <w:r>
        <w:rPr>
          <w:rFonts w:cs="Arial"/>
          <w:b/>
        </w:rPr>
        <w:t>Cost implications</w:t>
      </w:r>
    </w:p>
    <w:p w:rsidR="009F09EB" w:rsidRDefault="009F09EB" w:rsidP="00013638">
      <w:pPr>
        <w:jc w:val="both"/>
        <w:rPr>
          <w:rFonts w:cs="Arial"/>
        </w:rPr>
      </w:pPr>
    </w:p>
    <w:p w:rsidR="009F09EB" w:rsidRDefault="009F09EB" w:rsidP="00013638">
      <w:pPr>
        <w:jc w:val="both"/>
        <w:rPr>
          <w:rFonts w:cs="Arial"/>
        </w:rPr>
      </w:pPr>
      <w:r>
        <w:rPr>
          <w:rFonts w:cs="Arial"/>
        </w:rPr>
        <w:t>It is thought that these guidelines will have minimum cost implications as the disposables involved are currently in use in most ICUs.</w:t>
      </w:r>
    </w:p>
    <w:p w:rsidR="009F09EB" w:rsidRDefault="009F09EB" w:rsidP="00013638">
      <w:pPr>
        <w:jc w:val="both"/>
        <w:rPr>
          <w:rFonts w:cs="Arial"/>
        </w:rPr>
      </w:pPr>
    </w:p>
    <w:p w:rsidR="009F09EB" w:rsidRDefault="009F09EB" w:rsidP="00013638">
      <w:pPr>
        <w:jc w:val="both"/>
        <w:rPr>
          <w:rFonts w:cs="Arial"/>
        </w:rPr>
      </w:pPr>
    </w:p>
    <w:p w:rsidR="009F09EB" w:rsidRDefault="009F09EB" w:rsidP="00013638">
      <w:pPr>
        <w:jc w:val="both"/>
        <w:rPr>
          <w:rFonts w:cs="Arial"/>
        </w:rPr>
      </w:pPr>
    </w:p>
    <w:p w:rsidR="009F09EB" w:rsidRDefault="009F09EB" w:rsidP="00013638">
      <w:pPr>
        <w:jc w:val="both"/>
        <w:rPr>
          <w:rFonts w:cs="Arial"/>
        </w:rPr>
      </w:pPr>
      <w:r>
        <w:rPr>
          <w:rFonts w:cs="Arial"/>
          <w:b/>
        </w:rPr>
        <w:t>Date of issue</w:t>
      </w:r>
      <w:r>
        <w:rPr>
          <w:rFonts w:cs="Arial"/>
          <w:b/>
        </w:rPr>
        <w:tab/>
      </w:r>
      <w:r>
        <w:rPr>
          <w:rFonts w:cs="Arial"/>
        </w:rPr>
        <w:t>March 2008</w:t>
      </w:r>
    </w:p>
    <w:p w:rsidR="009F09EB" w:rsidRDefault="009F09EB" w:rsidP="00013638">
      <w:pPr>
        <w:jc w:val="both"/>
        <w:rPr>
          <w:rFonts w:cs="Arial"/>
        </w:rPr>
      </w:pPr>
    </w:p>
    <w:p w:rsidR="009F09EB" w:rsidRDefault="009F09EB" w:rsidP="00013638">
      <w:pPr>
        <w:jc w:val="both"/>
        <w:rPr>
          <w:rFonts w:cs="Arial"/>
        </w:rPr>
      </w:pPr>
      <w:r>
        <w:rPr>
          <w:rFonts w:cs="Arial"/>
          <w:b/>
        </w:rPr>
        <w:t>Date of review</w:t>
      </w:r>
      <w:r w:rsidR="00F81A30">
        <w:rPr>
          <w:rFonts w:cs="Arial"/>
        </w:rPr>
        <w:tab/>
        <w:t>2018</w:t>
      </w:r>
      <w:r>
        <w:rPr>
          <w:rFonts w:cs="Arial"/>
        </w:rPr>
        <w:tab/>
      </w:r>
      <w:r>
        <w:rPr>
          <w:rFonts w:cs="Arial"/>
        </w:rPr>
        <w:tab/>
      </w:r>
    </w:p>
    <w:p w:rsidR="00F81A30" w:rsidRDefault="00F81A30" w:rsidP="00013638">
      <w:pPr>
        <w:jc w:val="both"/>
        <w:rPr>
          <w:rFonts w:cs="Arial"/>
        </w:rPr>
      </w:pPr>
    </w:p>
    <w:p w:rsidR="00F81A30" w:rsidRDefault="00F81A30" w:rsidP="00013638">
      <w:pPr>
        <w:jc w:val="both"/>
        <w:rPr>
          <w:rFonts w:cs="Arial"/>
        </w:rPr>
      </w:pPr>
    </w:p>
    <w:p w:rsidR="009F09EB" w:rsidRDefault="009F09EB" w:rsidP="00013638">
      <w:pPr>
        <w:jc w:val="both"/>
        <w:rPr>
          <w:rFonts w:cs="Arial"/>
        </w:rPr>
      </w:pPr>
    </w:p>
    <w:p w:rsidR="009F09EB" w:rsidRDefault="009F09EB" w:rsidP="00013638">
      <w:pPr>
        <w:jc w:val="both"/>
        <w:rPr>
          <w:rFonts w:cs="Arial"/>
        </w:rPr>
      </w:pPr>
    </w:p>
    <w:p w:rsidR="009F09EB" w:rsidRDefault="009F09EB" w:rsidP="00013638">
      <w:pPr>
        <w:jc w:val="both"/>
        <w:rPr>
          <w:rFonts w:cs="Arial"/>
          <w:b/>
        </w:rPr>
      </w:pPr>
      <w:r>
        <w:rPr>
          <w:rFonts w:cs="Arial"/>
          <w:b/>
        </w:rPr>
        <w:t>Key references</w:t>
      </w:r>
    </w:p>
    <w:p w:rsidR="00F81A30" w:rsidRDefault="00F81A30" w:rsidP="00013638">
      <w:pPr>
        <w:jc w:val="both"/>
        <w:rPr>
          <w:rFonts w:cs="Arial"/>
          <w:b/>
        </w:rPr>
      </w:pPr>
    </w:p>
    <w:p w:rsidR="00F81A30" w:rsidRPr="00F81A30" w:rsidRDefault="00F81A30" w:rsidP="00F81A30">
      <w:pPr>
        <w:rPr>
          <w:rFonts w:cs="Arial"/>
        </w:rPr>
      </w:pPr>
      <w:r>
        <w:rPr>
          <w:rFonts w:cs="Arial"/>
        </w:rPr>
        <w:t xml:space="preserve">1 Department of Health UK. </w:t>
      </w:r>
      <w:r w:rsidRPr="004205DD">
        <w:rPr>
          <w:rFonts w:cs="Arial"/>
        </w:rPr>
        <w:t>epic3: National Evidence-Based Guidelines for</w:t>
      </w:r>
      <w:r>
        <w:rPr>
          <w:rFonts w:cs="Arial"/>
        </w:rPr>
        <w:t xml:space="preserve"> </w:t>
      </w:r>
      <w:r w:rsidRPr="004205DD">
        <w:rPr>
          <w:rFonts w:cs="Arial"/>
        </w:rPr>
        <w:t>Preventing Healthcare-Associated Infections in</w:t>
      </w:r>
      <w:r>
        <w:rPr>
          <w:rFonts w:cs="Arial"/>
        </w:rPr>
        <w:t xml:space="preserve"> </w:t>
      </w:r>
      <w:r w:rsidRPr="004205DD">
        <w:rPr>
          <w:rFonts w:cs="Arial"/>
        </w:rPr>
        <w:t>NHS Hospitals in England</w:t>
      </w:r>
      <w:r>
        <w:rPr>
          <w:rFonts w:cs="Arial"/>
        </w:rPr>
        <w:t xml:space="preserve">. </w:t>
      </w:r>
      <w:r w:rsidRPr="004205DD">
        <w:rPr>
          <w:rFonts w:cs="Arial"/>
        </w:rPr>
        <w:t>Journal of Hospital Infection</w:t>
      </w:r>
      <w:r>
        <w:rPr>
          <w:rFonts w:cs="Arial"/>
        </w:rPr>
        <w:t xml:space="preserve">; 2014; </w:t>
      </w:r>
      <w:r w:rsidRPr="004205DD">
        <w:rPr>
          <w:rFonts w:cs="Arial"/>
        </w:rPr>
        <w:t xml:space="preserve"> 86</w:t>
      </w:r>
      <w:r>
        <w:rPr>
          <w:rFonts w:cs="Arial"/>
        </w:rPr>
        <w:t xml:space="preserve"> </w:t>
      </w:r>
      <w:r w:rsidRPr="004205DD">
        <w:rPr>
          <w:rFonts w:cs="Arial"/>
        </w:rPr>
        <w:t>S</w:t>
      </w:r>
      <w:r>
        <w:rPr>
          <w:rFonts w:cs="Arial"/>
        </w:rPr>
        <w:t>upplement:</w:t>
      </w:r>
      <w:r w:rsidRPr="004205DD">
        <w:rPr>
          <w:rFonts w:cs="Arial"/>
        </w:rPr>
        <w:t xml:space="preserve"> S1–S70</w:t>
      </w:r>
    </w:p>
    <w:p w:rsidR="009F09EB" w:rsidRDefault="009F09EB" w:rsidP="00013638">
      <w:pPr>
        <w:jc w:val="both"/>
        <w:rPr>
          <w:rFonts w:cs="Arial"/>
        </w:rPr>
      </w:pPr>
    </w:p>
    <w:p w:rsidR="009F09EB" w:rsidRDefault="00F81A30" w:rsidP="00F81A30">
      <w:pPr>
        <w:rPr>
          <w:rFonts w:cs="Arial"/>
        </w:rPr>
      </w:pPr>
      <w:r>
        <w:rPr>
          <w:rFonts w:cs="Arial"/>
        </w:rPr>
        <w:t xml:space="preserve">2 </w:t>
      </w:r>
      <w:r w:rsidR="009F09EB">
        <w:rPr>
          <w:rFonts w:cs="Arial"/>
        </w:rPr>
        <w:t>Center for Disease Control Guidelines. Healthcare Infection Control Practices Advisory Committee. Guidelines for the prevention of intravascular catheter-related in</w:t>
      </w:r>
      <w:r>
        <w:rPr>
          <w:rFonts w:cs="Arial"/>
        </w:rPr>
        <w:t xml:space="preserve">fections. 2011. </w:t>
      </w:r>
      <w:r w:rsidRPr="00F81A30">
        <w:rPr>
          <w:rFonts w:cs="Arial"/>
        </w:rPr>
        <w:t>http://www.cdc.gov/hicpac/BSI/BSI-guidelines-2011.html</w:t>
      </w:r>
    </w:p>
    <w:p w:rsidR="009F09EB" w:rsidRDefault="009F09EB">
      <w:pPr>
        <w:rPr>
          <w:rFonts w:cs="Arial"/>
        </w:rPr>
      </w:pPr>
    </w:p>
    <w:p w:rsidR="00EA5888" w:rsidRDefault="00F81A30" w:rsidP="00EA5888">
      <w:pPr>
        <w:rPr>
          <w:rFonts w:cs="Arial"/>
        </w:rPr>
      </w:pPr>
      <w:r>
        <w:rPr>
          <w:rFonts w:ascii="StoneSans" w:hAnsi="StoneSans"/>
          <w:sz w:val="23"/>
          <w:szCs w:val="23"/>
          <w:lang w:eastAsia="en-GB"/>
        </w:rPr>
        <w:t xml:space="preserve">3 </w:t>
      </w:r>
      <w:r w:rsidR="00EA5888" w:rsidRPr="00EA5888">
        <w:rPr>
          <w:rFonts w:ascii="StoneSans" w:hAnsi="StoneSans"/>
          <w:sz w:val="23"/>
          <w:szCs w:val="23"/>
          <w:lang w:eastAsia="en-GB"/>
        </w:rPr>
        <w:t>D</w:t>
      </w:r>
      <w:r>
        <w:rPr>
          <w:rFonts w:ascii="StoneSans" w:hAnsi="StoneSans"/>
          <w:sz w:val="23"/>
          <w:szCs w:val="23"/>
          <w:lang w:eastAsia="en-GB"/>
        </w:rPr>
        <w:t xml:space="preserve">epartment of </w:t>
      </w:r>
      <w:r w:rsidR="00EA5888" w:rsidRPr="00EA5888">
        <w:rPr>
          <w:rFonts w:ascii="StoneSans" w:hAnsi="StoneSans"/>
          <w:sz w:val="23"/>
          <w:szCs w:val="23"/>
          <w:lang w:eastAsia="en-GB"/>
        </w:rPr>
        <w:t>H</w:t>
      </w:r>
      <w:r>
        <w:rPr>
          <w:rFonts w:ascii="StoneSans" w:hAnsi="StoneSans"/>
          <w:sz w:val="23"/>
          <w:szCs w:val="23"/>
          <w:lang w:eastAsia="en-GB"/>
        </w:rPr>
        <w:t>ealth</w:t>
      </w:r>
      <w:r w:rsidR="00EA5888" w:rsidRPr="00EA5888">
        <w:rPr>
          <w:rFonts w:ascii="StoneSans" w:hAnsi="StoneSans"/>
          <w:sz w:val="23"/>
          <w:szCs w:val="23"/>
          <w:lang w:eastAsia="en-GB"/>
        </w:rPr>
        <w:t>. High Impact Intervention: Central venous catheter care bundle. 2011. http://hcai.dh.gov.uk/whatdoido/high-impact-interventions.</w:t>
      </w:r>
    </w:p>
    <w:p w:rsidR="00F81A30" w:rsidRDefault="00F81A30">
      <w:pPr>
        <w:jc w:val="center"/>
        <w:rPr>
          <w:rFonts w:cs="Arial"/>
        </w:rPr>
      </w:pPr>
    </w:p>
    <w:p w:rsidR="00F81A30" w:rsidRDefault="00F81A30" w:rsidP="00F81A30">
      <w:pPr>
        <w:rPr>
          <w:rFonts w:cs="Arial"/>
        </w:rPr>
      </w:pPr>
    </w:p>
    <w:p w:rsidR="00F81A30" w:rsidRDefault="00F81A30" w:rsidP="00F81A30">
      <w:pPr>
        <w:rPr>
          <w:rFonts w:cs="Arial"/>
        </w:rPr>
      </w:pPr>
    </w:p>
    <w:p w:rsidR="00F81A30" w:rsidRDefault="00F81A30" w:rsidP="00F81A30">
      <w:pPr>
        <w:rPr>
          <w:rFonts w:cs="Arial"/>
        </w:rPr>
      </w:pPr>
      <w:r>
        <w:rPr>
          <w:rFonts w:cs="Arial"/>
        </w:rPr>
        <w:t>Appendix 1</w:t>
      </w:r>
    </w:p>
    <w:p w:rsidR="00F81A30" w:rsidRDefault="00F81A30" w:rsidP="00F81A30">
      <w:pPr>
        <w:rPr>
          <w:rFonts w:cs="Arial"/>
        </w:rPr>
      </w:pPr>
    </w:p>
    <w:p w:rsidR="00F81A30" w:rsidRDefault="00F81A30" w:rsidP="00F81A30">
      <w:pPr>
        <w:autoSpaceDE w:val="0"/>
        <w:autoSpaceDN w:val="0"/>
        <w:adjustRightInd w:val="0"/>
        <w:rPr>
          <w:rFonts w:cs="Arial"/>
          <w:b/>
          <w:bCs/>
          <w:color w:val="008181"/>
          <w:sz w:val="28"/>
          <w:szCs w:val="28"/>
          <w:lang w:eastAsia="en-GB"/>
        </w:rPr>
      </w:pPr>
      <w:r>
        <w:rPr>
          <w:rFonts w:cs="Arial"/>
          <w:b/>
          <w:bCs/>
          <w:color w:val="008181"/>
          <w:sz w:val="28"/>
          <w:szCs w:val="28"/>
          <w:lang w:eastAsia="en-GB"/>
        </w:rPr>
        <w:t>CENTRAL LINE INSERTION – SUMMARY</w:t>
      </w:r>
    </w:p>
    <w:p w:rsidR="00F81A30" w:rsidRDefault="00F81A30" w:rsidP="00F81A30">
      <w:pPr>
        <w:autoSpaceDE w:val="0"/>
        <w:autoSpaceDN w:val="0"/>
        <w:adjustRightInd w:val="0"/>
        <w:rPr>
          <w:rFonts w:cs="Arial"/>
          <w:color w:val="000000"/>
          <w:sz w:val="22"/>
          <w:szCs w:val="22"/>
          <w:lang w:eastAsia="en-GB"/>
        </w:rPr>
      </w:pPr>
    </w:p>
    <w:p w:rsidR="00F81A30" w:rsidRDefault="00F81A30" w:rsidP="00F81A30">
      <w:pPr>
        <w:autoSpaceDE w:val="0"/>
        <w:autoSpaceDN w:val="0"/>
        <w:adjustRightInd w:val="0"/>
        <w:rPr>
          <w:rFonts w:cs="Arial"/>
          <w:color w:val="000000"/>
          <w:sz w:val="22"/>
          <w:szCs w:val="22"/>
          <w:lang w:eastAsia="en-GB"/>
        </w:rPr>
      </w:pPr>
      <w:r>
        <w:rPr>
          <w:rFonts w:cs="Arial"/>
          <w:color w:val="000000"/>
          <w:sz w:val="22"/>
          <w:szCs w:val="22"/>
          <w:lang w:eastAsia="en-GB"/>
        </w:rPr>
        <w:t>A proceduralist should comply with the following when inserting a Central Line:</w:t>
      </w:r>
    </w:p>
    <w:p w:rsidR="00F81A30" w:rsidRDefault="00F81A30" w:rsidP="00F81A30">
      <w:pPr>
        <w:autoSpaceDE w:val="0"/>
        <w:autoSpaceDN w:val="0"/>
        <w:adjustRightInd w:val="0"/>
        <w:rPr>
          <w:rFonts w:ascii="SymbolMT" w:eastAsia="SymbolMT" w:cs="SymbolMT"/>
          <w:color w:val="000000"/>
          <w:sz w:val="22"/>
          <w:szCs w:val="22"/>
          <w:lang w:eastAsia="en-GB"/>
        </w:rPr>
      </w:pP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Consider whether or not Central Line is indicated and if so, what is the most appropriate site for the patient</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Choose the type, size, length and number of lumens of the catheter to be inserted</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Seek procedural support from an assistant and/or supervisor</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Move the patient to an area suitable for Central Line insertion</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Clip hair at the insertion site. Shaving is not recommended</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Perform hand hygiene using an antiseptic solution</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Establish secure peripheral venous access in order to be able to administer any necessary medications and manage complications. It is recognised that this may not always be possible especially in the emergency setting</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Establish ECG, pulse oximetry, end -tidal carbon dioxide (ETCO</w:t>
      </w:r>
      <w:r>
        <w:rPr>
          <w:rFonts w:cs="Arial"/>
          <w:color w:val="000000"/>
          <w:sz w:val="14"/>
          <w:szCs w:val="14"/>
          <w:lang w:eastAsia="en-GB"/>
        </w:rPr>
        <w:t>2</w:t>
      </w:r>
      <w:r>
        <w:rPr>
          <w:rFonts w:cs="Arial"/>
          <w:color w:val="000000"/>
          <w:sz w:val="22"/>
          <w:szCs w:val="22"/>
          <w:lang w:eastAsia="en-GB"/>
        </w:rPr>
        <w:t>) and blood pressure (BP) monitoring (as appropriate) if this has not been done already</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Consider the use of sedation in the conscious patient (making sure of compliance with sedation standards)</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Give supplemental oxygen if sedation is used or there is a decreased level of consciousness</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Position the patient head down to distend the veins (internal jugular/subclavian line insertion).</w:t>
      </w:r>
    </w:p>
    <w:p w:rsidR="00F81A30" w:rsidRDefault="00F81A30" w:rsidP="00F81A30">
      <w:pPr>
        <w:autoSpaceDE w:val="0"/>
        <w:autoSpaceDN w:val="0"/>
        <w:adjustRightInd w:val="0"/>
        <w:rPr>
          <w:rFonts w:cs="Arial"/>
          <w:color w:val="000000"/>
          <w:sz w:val="22"/>
          <w:szCs w:val="22"/>
          <w:lang w:eastAsia="en-GB"/>
        </w:rPr>
      </w:pPr>
      <w:r>
        <w:rPr>
          <w:rFonts w:cs="Arial"/>
          <w:color w:val="000000"/>
          <w:sz w:val="22"/>
          <w:szCs w:val="22"/>
          <w:lang w:eastAsia="en-GB"/>
        </w:rPr>
        <w:t>The degree to which this can be done will depend on the patient’s condition (e.g. head injuries, congestive cardiac failure - CCF) and whether or not they are conscious. The assistant may do this after skin antiseptic preparation, if appropriate. Use a venous tourniquet for PICCs</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Partially put on maximum sterile barrier equipment, meaning, mask, hat (head and facial hair) and eye protection</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Perform a 2-minute hand wash with an approved antiseptic solution</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Put on remaining maximum sterile barrier equipment, meaning, sterile gown and sterile gloves</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Perform meticulous skin preparation with alcoholic chlorhexidine unless contraindicated</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Fully cover the patient and their bed with sterile drape/s (unless this is impractical)</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Maintain asepsis throughout the procedure</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lastRenderedPageBreak/>
        <w:t>•</w:t>
      </w:r>
      <w:r>
        <w:rPr>
          <w:rFonts w:ascii="SymbolMT" w:eastAsia="SymbolMT" w:cs="SymbolMT"/>
          <w:color w:val="000000"/>
          <w:sz w:val="22"/>
          <w:szCs w:val="22"/>
          <w:lang w:eastAsia="en-GB"/>
        </w:rPr>
        <w:t xml:space="preserve"> </w:t>
      </w:r>
      <w:r>
        <w:rPr>
          <w:rFonts w:cs="Arial"/>
          <w:color w:val="000000"/>
          <w:sz w:val="22"/>
          <w:szCs w:val="22"/>
          <w:lang w:eastAsia="en-GB"/>
        </w:rPr>
        <w:t>Always use local anaesthetic for the insertion site and adjacent subcutaneous tissues in a conscious patient</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Ultrasound should be available and its use considered when inserting a Central Line.</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Cannulate the vein with an introducing needle/cannula</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Confirm venous (not arterial) placement (e.g. manometry, ultrasound, transduce catheter, contrast injection)</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Maintain control of the guidewire at all times</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Insert dilator only to a depth sufficient to dilate the vein puncture site</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Remove guidewire</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Insert the catheter (PICCs may have a stiffening wire)</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Remove stiffening wire if used (PICCs)</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After the guidewire/stiffening wire has been removed, two people should confirm that it is complete and the tip has not been damaged</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Secure and dress the Central Line with a sterile transparent semi-permeable self-adhesive dressing</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Confirm Central Line position before use by appropriate means</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Dispose of all sharps in sharps bins</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Complete a Central Venous Line Insertion Record</w:t>
      </w:r>
    </w:p>
    <w:p w:rsidR="00F81A30" w:rsidRDefault="00F81A30" w:rsidP="00F81A30">
      <w:pPr>
        <w:autoSpaceDE w:val="0"/>
        <w:autoSpaceDN w:val="0"/>
        <w:adjustRightInd w:val="0"/>
        <w:rPr>
          <w:rFonts w:cs="Arial"/>
          <w:color w:val="000000"/>
          <w:sz w:val="22"/>
          <w:szCs w:val="22"/>
          <w:lang w:eastAsia="en-GB"/>
        </w:rPr>
      </w:pPr>
      <w:r>
        <w:rPr>
          <w:rFonts w:ascii="SymbolMT" w:eastAsia="SymbolMT" w:cs="SymbolMT" w:hint="eastAsia"/>
          <w:color w:val="000000"/>
          <w:sz w:val="22"/>
          <w:szCs w:val="22"/>
          <w:lang w:eastAsia="en-GB"/>
        </w:rPr>
        <w:t>•</w:t>
      </w:r>
      <w:r>
        <w:rPr>
          <w:rFonts w:ascii="SymbolMT" w:eastAsia="SymbolMT" w:cs="SymbolMT"/>
          <w:color w:val="000000"/>
          <w:sz w:val="22"/>
          <w:szCs w:val="22"/>
          <w:lang w:eastAsia="en-GB"/>
        </w:rPr>
        <w:t xml:space="preserve"> </w:t>
      </w:r>
      <w:r>
        <w:rPr>
          <w:rFonts w:cs="Arial"/>
          <w:color w:val="000000"/>
          <w:sz w:val="22"/>
          <w:szCs w:val="22"/>
          <w:lang w:eastAsia="en-GB"/>
        </w:rPr>
        <w:t>Perform and check chest X-ray to confirm the tip is in the correct position (excluding femoral lines).</w:t>
      </w:r>
    </w:p>
    <w:p w:rsidR="00F81A30" w:rsidRDefault="00F81A30" w:rsidP="00F81A30">
      <w:pPr>
        <w:autoSpaceDE w:val="0"/>
        <w:autoSpaceDN w:val="0"/>
        <w:adjustRightInd w:val="0"/>
        <w:rPr>
          <w:rFonts w:cs="Arial"/>
          <w:color w:val="000000"/>
          <w:sz w:val="22"/>
          <w:szCs w:val="22"/>
          <w:lang w:eastAsia="en-GB"/>
        </w:rPr>
      </w:pPr>
    </w:p>
    <w:p w:rsidR="00F81A30" w:rsidRDefault="00F81A30" w:rsidP="00F81A30">
      <w:pPr>
        <w:autoSpaceDE w:val="0"/>
        <w:autoSpaceDN w:val="0"/>
        <w:adjustRightInd w:val="0"/>
        <w:rPr>
          <w:rFonts w:cs="Arial"/>
          <w:color w:val="000000"/>
          <w:sz w:val="22"/>
          <w:szCs w:val="22"/>
          <w:lang w:eastAsia="en-GB"/>
        </w:rPr>
      </w:pPr>
    </w:p>
    <w:p w:rsidR="00F81A30" w:rsidRDefault="00F81A30" w:rsidP="00F81A30">
      <w:pPr>
        <w:autoSpaceDE w:val="0"/>
        <w:autoSpaceDN w:val="0"/>
        <w:adjustRightInd w:val="0"/>
        <w:rPr>
          <w:rFonts w:cs="Arial"/>
          <w:color w:val="000000"/>
          <w:sz w:val="22"/>
          <w:szCs w:val="22"/>
          <w:lang w:eastAsia="en-GB"/>
        </w:rPr>
      </w:pPr>
      <w:r>
        <w:rPr>
          <w:rFonts w:cs="Arial"/>
          <w:color w:val="000000"/>
          <w:sz w:val="22"/>
          <w:szCs w:val="22"/>
          <w:lang w:eastAsia="en-GB"/>
        </w:rPr>
        <w:t xml:space="preserve">Appendix 2 </w:t>
      </w:r>
    </w:p>
    <w:p w:rsidR="00F81A30" w:rsidRDefault="00F81A30" w:rsidP="00F81A30">
      <w:pPr>
        <w:autoSpaceDE w:val="0"/>
        <w:autoSpaceDN w:val="0"/>
        <w:adjustRightInd w:val="0"/>
        <w:rPr>
          <w:rFonts w:cs="Arial"/>
          <w:color w:val="000000"/>
          <w:sz w:val="22"/>
          <w:szCs w:val="22"/>
          <w:lang w:eastAsia="en-GB"/>
        </w:rPr>
      </w:pPr>
    </w:p>
    <w:p w:rsidR="00F81A30" w:rsidRDefault="00F81A30" w:rsidP="00F81A30">
      <w:pPr>
        <w:autoSpaceDE w:val="0"/>
        <w:autoSpaceDN w:val="0"/>
        <w:adjustRightInd w:val="0"/>
        <w:rPr>
          <w:rFonts w:cs="Arial"/>
        </w:rPr>
      </w:pPr>
      <w:r>
        <w:rPr>
          <w:rFonts w:cs="Arial"/>
          <w:noProof/>
          <w:lang w:eastAsia="en-GB"/>
        </w:rPr>
        <w:drawing>
          <wp:inline distT="0" distB="0" distL="0" distR="0">
            <wp:extent cx="5274310" cy="3292692"/>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4310" cy="3292692"/>
                    </a:xfrm>
                    <a:prstGeom prst="rect">
                      <a:avLst/>
                    </a:prstGeom>
                    <a:noFill/>
                    <a:ln w="9525">
                      <a:noFill/>
                      <a:miter lim="800000"/>
                      <a:headEnd/>
                      <a:tailEnd/>
                    </a:ln>
                  </pic:spPr>
                </pic:pic>
              </a:graphicData>
            </a:graphic>
          </wp:inline>
        </w:drawing>
      </w:r>
    </w:p>
    <w:p w:rsidR="00F81A30" w:rsidRDefault="00F81A30" w:rsidP="00F81A30">
      <w:pPr>
        <w:autoSpaceDE w:val="0"/>
        <w:autoSpaceDN w:val="0"/>
        <w:adjustRightInd w:val="0"/>
        <w:rPr>
          <w:rFonts w:cs="Arial"/>
        </w:rPr>
      </w:pPr>
    </w:p>
    <w:p w:rsidR="00F81A30" w:rsidRDefault="00F81A30" w:rsidP="00F81A30">
      <w:pPr>
        <w:autoSpaceDE w:val="0"/>
        <w:autoSpaceDN w:val="0"/>
        <w:adjustRightInd w:val="0"/>
        <w:rPr>
          <w:rFonts w:cs="Arial"/>
        </w:rPr>
      </w:pPr>
      <w:commentRangeStart w:id="3"/>
      <w:r>
        <w:rPr>
          <w:rFonts w:cs="Arial"/>
        </w:rPr>
        <w:lastRenderedPageBreak/>
        <w:t>Appendix 3</w:t>
      </w:r>
      <w:commentRangeEnd w:id="3"/>
      <w:r w:rsidR="00CF4A17">
        <w:rPr>
          <w:rStyle w:val="CommentReference"/>
        </w:rPr>
        <w:commentReference w:id="3"/>
      </w:r>
    </w:p>
    <w:p w:rsidR="00987788" w:rsidRDefault="00987788" w:rsidP="00F81A30">
      <w:pPr>
        <w:autoSpaceDE w:val="0"/>
        <w:autoSpaceDN w:val="0"/>
        <w:adjustRightInd w:val="0"/>
        <w:rPr>
          <w:rFonts w:cs="Arial"/>
        </w:rPr>
      </w:pPr>
    </w:p>
    <w:p w:rsidR="00987788" w:rsidRDefault="00987788" w:rsidP="00F81A30">
      <w:pPr>
        <w:autoSpaceDE w:val="0"/>
        <w:autoSpaceDN w:val="0"/>
        <w:adjustRightInd w:val="0"/>
        <w:rPr>
          <w:rFonts w:cs="Arial"/>
        </w:rPr>
      </w:pPr>
      <w:r>
        <w:rPr>
          <w:rFonts w:cs="Arial"/>
        </w:rPr>
        <w:t>Central Venous Catheter Flushing</w:t>
      </w:r>
    </w:p>
    <w:p w:rsidR="00987788" w:rsidRDefault="00987788" w:rsidP="00F81A30">
      <w:pPr>
        <w:autoSpaceDE w:val="0"/>
        <w:autoSpaceDN w:val="0"/>
        <w:adjustRightInd w:val="0"/>
        <w:rPr>
          <w:rFonts w:cs="Arial"/>
        </w:rPr>
      </w:pPr>
    </w:p>
    <w:p w:rsidR="00987788" w:rsidRDefault="00987788" w:rsidP="00F81A30">
      <w:pPr>
        <w:autoSpaceDE w:val="0"/>
        <w:autoSpaceDN w:val="0"/>
        <w:adjustRightInd w:val="0"/>
        <w:rPr>
          <w:rFonts w:cs="Arial"/>
        </w:rPr>
      </w:pPr>
      <w:r>
        <w:rPr>
          <w:rFonts w:cs="Arial"/>
        </w:rPr>
        <w:t>Notify patient/caretakers</w:t>
      </w:r>
      <w:r w:rsidRPr="00F81A30">
        <w:rPr>
          <w:rFonts w:cs="Arial"/>
        </w:rPr>
        <w:t xml:space="preserve"> of planned procedure.</w:t>
      </w:r>
    </w:p>
    <w:p w:rsidR="00356977" w:rsidRDefault="00356977" w:rsidP="00F81A30">
      <w:pPr>
        <w:autoSpaceDE w:val="0"/>
        <w:autoSpaceDN w:val="0"/>
        <w:adjustRightInd w:val="0"/>
        <w:rPr>
          <w:rFonts w:cs="Arial"/>
        </w:rPr>
      </w:pPr>
    </w:p>
    <w:p w:rsidR="00356977" w:rsidRPr="00356977" w:rsidRDefault="00356977" w:rsidP="00356977">
      <w:pPr>
        <w:autoSpaceDE w:val="0"/>
        <w:autoSpaceDN w:val="0"/>
        <w:adjustRightInd w:val="0"/>
        <w:rPr>
          <w:rFonts w:cs="Arial"/>
        </w:rPr>
      </w:pPr>
      <w:r w:rsidRPr="00356977">
        <w:rPr>
          <w:rFonts w:cs="Arial"/>
        </w:rPr>
        <w:t>Before flushing a line of a central venous catheter, check that any prior infusion can be flushed safely. Any lumen containing vasoactive drugs should be aspirated and the aspirate discarded prior to flushing.</w:t>
      </w:r>
    </w:p>
    <w:p w:rsidR="00356977" w:rsidRDefault="00356977" w:rsidP="00356977">
      <w:pPr>
        <w:autoSpaceDE w:val="0"/>
        <w:autoSpaceDN w:val="0"/>
        <w:adjustRightInd w:val="0"/>
        <w:rPr>
          <w:rFonts w:cs="Arial"/>
        </w:rPr>
      </w:pPr>
    </w:p>
    <w:p w:rsidR="00300E54" w:rsidRDefault="00300E54" w:rsidP="00356977">
      <w:pPr>
        <w:autoSpaceDE w:val="0"/>
        <w:autoSpaceDN w:val="0"/>
        <w:adjustRightInd w:val="0"/>
        <w:rPr>
          <w:rFonts w:cs="Arial"/>
        </w:rPr>
      </w:pPr>
      <w:r>
        <w:rPr>
          <w:rFonts w:cs="Arial"/>
        </w:rPr>
        <w:t>Procedure</w:t>
      </w:r>
    </w:p>
    <w:p w:rsidR="00300E54" w:rsidRDefault="00300E54" w:rsidP="00356977">
      <w:pPr>
        <w:autoSpaceDE w:val="0"/>
        <w:autoSpaceDN w:val="0"/>
        <w:adjustRightInd w:val="0"/>
        <w:rPr>
          <w:rFonts w:cs="Arial"/>
        </w:rPr>
      </w:pPr>
    </w:p>
    <w:p w:rsidR="00356977" w:rsidRPr="00356977" w:rsidRDefault="00356977" w:rsidP="00356977">
      <w:pPr>
        <w:autoSpaceDE w:val="0"/>
        <w:autoSpaceDN w:val="0"/>
        <w:adjustRightInd w:val="0"/>
        <w:rPr>
          <w:rFonts w:cs="Arial"/>
        </w:rPr>
      </w:pPr>
      <w:r w:rsidRPr="00356977">
        <w:rPr>
          <w:rFonts w:cs="Arial"/>
        </w:rPr>
        <w:t>Hand hygiene must be completed prior to and after flushing the catheter</w:t>
      </w:r>
      <w:r w:rsidR="00505740">
        <w:rPr>
          <w:rFonts w:cs="Arial"/>
        </w:rPr>
        <w:t xml:space="preserve"> and apply gloves</w:t>
      </w:r>
      <w:r w:rsidRPr="00356977">
        <w:rPr>
          <w:rFonts w:cs="Arial"/>
        </w:rPr>
        <w:t>.</w:t>
      </w:r>
    </w:p>
    <w:p w:rsidR="00356977" w:rsidRDefault="00356977" w:rsidP="00356977">
      <w:pPr>
        <w:autoSpaceDE w:val="0"/>
        <w:autoSpaceDN w:val="0"/>
        <w:adjustRightInd w:val="0"/>
        <w:rPr>
          <w:rFonts w:cs="Arial"/>
        </w:rPr>
      </w:pPr>
    </w:p>
    <w:p w:rsidR="00356977" w:rsidRPr="00356977" w:rsidRDefault="00356977" w:rsidP="00356977">
      <w:pPr>
        <w:autoSpaceDE w:val="0"/>
        <w:autoSpaceDN w:val="0"/>
        <w:adjustRightInd w:val="0"/>
        <w:rPr>
          <w:rFonts w:cs="Arial"/>
        </w:rPr>
      </w:pPr>
      <w:r w:rsidRPr="00356977">
        <w:rPr>
          <w:rFonts w:cs="Arial"/>
        </w:rPr>
        <w:t>Prepare flush solution as per relevant preparation and administration of medicines policy. This should usually be 5-10mls of 0.9% Normal Saline</w:t>
      </w:r>
      <w:r>
        <w:rPr>
          <w:rFonts w:cs="Arial"/>
        </w:rPr>
        <w:t xml:space="preserve"> in a 10mls syringe</w:t>
      </w:r>
      <w:r w:rsidRPr="00356977">
        <w:rPr>
          <w:rFonts w:cs="Arial"/>
        </w:rPr>
        <w:t>.</w:t>
      </w:r>
    </w:p>
    <w:p w:rsidR="00356977" w:rsidRDefault="00356977" w:rsidP="00356977">
      <w:pPr>
        <w:autoSpaceDE w:val="0"/>
        <w:autoSpaceDN w:val="0"/>
        <w:adjustRightInd w:val="0"/>
        <w:rPr>
          <w:rFonts w:cs="Arial"/>
        </w:rPr>
      </w:pPr>
    </w:p>
    <w:p w:rsidR="00356977" w:rsidRPr="00356977" w:rsidRDefault="00356977" w:rsidP="00356977">
      <w:pPr>
        <w:autoSpaceDE w:val="0"/>
        <w:autoSpaceDN w:val="0"/>
        <w:adjustRightInd w:val="0"/>
        <w:rPr>
          <w:rFonts w:cs="Arial"/>
        </w:rPr>
      </w:pPr>
      <w:r w:rsidRPr="00356977">
        <w:rPr>
          <w:rFonts w:cs="Arial"/>
        </w:rPr>
        <w:t>Clean the hub for a minimum of 15 s</w:t>
      </w:r>
      <w:r w:rsidR="00A3094D">
        <w:rPr>
          <w:rFonts w:cs="Arial"/>
        </w:rPr>
        <w:t>econds</w:t>
      </w:r>
      <w:r w:rsidRPr="00356977">
        <w:rPr>
          <w:rFonts w:cs="Arial"/>
        </w:rPr>
        <w:t xml:space="preserve"> using a 2% chlorhexidine gluconate in 70% isopropyl alcohol swab (or povidone iodine in alcohol for patients with sensitivit</w:t>
      </w:r>
      <w:r w:rsidR="00300E54">
        <w:rPr>
          <w:rFonts w:cs="Arial"/>
        </w:rPr>
        <w:t>y to chlorhexidine) and allow to</w:t>
      </w:r>
      <w:r w:rsidRPr="00356977">
        <w:rPr>
          <w:rFonts w:cs="Arial"/>
        </w:rPr>
        <w:t xml:space="preserve"> dry before accessing the system.</w:t>
      </w:r>
    </w:p>
    <w:p w:rsidR="00356977" w:rsidRDefault="00356977" w:rsidP="00356977">
      <w:pPr>
        <w:autoSpaceDE w:val="0"/>
        <w:autoSpaceDN w:val="0"/>
        <w:adjustRightInd w:val="0"/>
        <w:rPr>
          <w:rFonts w:cs="Arial"/>
        </w:rPr>
      </w:pPr>
    </w:p>
    <w:p w:rsidR="00356977" w:rsidRPr="00356977" w:rsidRDefault="00356977" w:rsidP="00356977">
      <w:pPr>
        <w:autoSpaceDE w:val="0"/>
        <w:autoSpaceDN w:val="0"/>
        <w:adjustRightInd w:val="0"/>
        <w:rPr>
          <w:rFonts w:cs="Arial"/>
        </w:rPr>
      </w:pPr>
      <w:r w:rsidRPr="00356977">
        <w:rPr>
          <w:rFonts w:cs="Arial"/>
        </w:rPr>
        <w:t>Subsequently use an aseptic non touch technique (ANTT) when accessing the central venous catheter.</w:t>
      </w:r>
    </w:p>
    <w:p w:rsidR="00356977" w:rsidRDefault="00356977" w:rsidP="00356977">
      <w:pPr>
        <w:autoSpaceDE w:val="0"/>
        <w:autoSpaceDN w:val="0"/>
        <w:adjustRightInd w:val="0"/>
        <w:rPr>
          <w:rFonts w:cs="Arial"/>
        </w:rPr>
      </w:pPr>
    </w:p>
    <w:p w:rsidR="00356977" w:rsidRPr="00356977" w:rsidRDefault="00356977" w:rsidP="00356977">
      <w:pPr>
        <w:autoSpaceDE w:val="0"/>
        <w:autoSpaceDN w:val="0"/>
        <w:adjustRightInd w:val="0"/>
        <w:rPr>
          <w:rFonts w:cs="Arial"/>
        </w:rPr>
      </w:pPr>
      <w:r w:rsidRPr="00356977">
        <w:rPr>
          <w:rFonts w:cs="Arial"/>
        </w:rPr>
        <w:t>Attach the syringe to the hub of the line to be flushed and flush using a pulsated push-pause and positive pressure method.</w:t>
      </w:r>
    </w:p>
    <w:p w:rsidR="00356977" w:rsidRDefault="00356977" w:rsidP="00356977">
      <w:pPr>
        <w:autoSpaceDE w:val="0"/>
        <w:autoSpaceDN w:val="0"/>
        <w:adjustRightInd w:val="0"/>
        <w:rPr>
          <w:rFonts w:cs="Arial"/>
        </w:rPr>
      </w:pPr>
    </w:p>
    <w:p w:rsidR="00356977" w:rsidRDefault="00356977" w:rsidP="00356977">
      <w:pPr>
        <w:autoSpaceDE w:val="0"/>
        <w:autoSpaceDN w:val="0"/>
        <w:adjustRightInd w:val="0"/>
        <w:rPr>
          <w:rFonts w:cs="Arial"/>
        </w:rPr>
      </w:pPr>
      <w:r w:rsidRPr="00356977">
        <w:rPr>
          <w:rFonts w:cs="Arial"/>
        </w:rPr>
        <w:t>If the patient experiences ANY discomfort or there is any unexplained problems then stop and seek medical advice.</w:t>
      </w:r>
    </w:p>
    <w:p w:rsidR="00987788" w:rsidRDefault="00987788" w:rsidP="00F81A30">
      <w:pPr>
        <w:autoSpaceDE w:val="0"/>
        <w:autoSpaceDN w:val="0"/>
        <w:adjustRightInd w:val="0"/>
        <w:rPr>
          <w:rFonts w:cs="Arial"/>
        </w:rPr>
      </w:pPr>
    </w:p>
    <w:p w:rsidR="00987788" w:rsidRDefault="00987788" w:rsidP="00F81A30">
      <w:pPr>
        <w:autoSpaceDE w:val="0"/>
        <w:autoSpaceDN w:val="0"/>
        <w:adjustRightInd w:val="0"/>
        <w:rPr>
          <w:rFonts w:cs="Arial"/>
        </w:rPr>
      </w:pPr>
      <w:r>
        <w:rPr>
          <w:rFonts w:cs="Arial"/>
        </w:rPr>
        <w:t>Appendix 4</w:t>
      </w:r>
    </w:p>
    <w:p w:rsidR="00F81A30" w:rsidRDefault="00F81A30" w:rsidP="00F81A30">
      <w:pPr>
        <w:autoSpaceDE w:val="0"/>
        <w:autoSpaceDN w:val="0"/>
        <w:adjustRightInd w:val="0"/>
        <w:rPr>
          <w:rFonts w:cs="Arial"/>
        </w:rPr>
      </w:pPr>
    </w:p>
    <w:p w:rsidR="00F81A30" w:rsidRPr="00F81A30" w:rsidRDefault="00F81A30" w:rsidP="00F81A30">
      <w:pPr>
        <w:autoSpaceDE w:val="0"/>
        <w:autoSpaceDN w:val="0"/>
        <w:adjustRightInd w:val="0"/>
        <w:rPr>
          <w:rFonts w:cs="Arial"/>
        </w:rPr>
      </w:pPr>
      <w:r w:rsidRPr="00F81A30">
        <w:rPr>
          <w:rFonts w:cs="Arial"/>
        </w:rPr>
        <w:t>Central Venous Catheter Line Removal:</w:t>
      </w:r>
    </w:p>
    <w:p w:rsidR="00F81A30" w:rsidRPr="00F81A30" w:rsidRDefault="00F81A30" w:rsidP="00F81A30">
      <w:pPr>
        <w:autoSpaceDE w:val="0"/>
        <w:autoSpaceDN w:val="0"/>
        <w:adjustRightInd w:val="0"/>
        <w:rPr>
          <w:rFonts w:cs="Arial"/>
        </w:rPr>
      </w:pPr>
      <w:r w:rsidRPr="00F81A30">
        <w:rPr>
          <w:rFonts w:cs="Arial"/>
        </w:rPr>
        <w:t>Procedure Planning:</w:t>
      </w:r>
    </w:p>
    <w:p w:rsidR="00F81A30" w:rsidRPr="00F81A30" w:rsidRDefault="00F81A30" w:rsidP="00F81A30">
      <w:pPr>
        <w:autoSpaceDE w:val="0"/>
        <w:autoSpaceDN w:val="0"/>
        <w:adjustRightInd w:val="0"/>
        <w:rPr>
          <w:rFonts w:cs="Arial"/>
        </w:rPr>
      </w:pPr>
      <w:r w:rsidRPr="00F81A30">
        <w:rPr>
          <w:rFonts w:cs="Arial"/>
        </w:rPr>
        <w:t>1. Notify nurse (and patient/caretakers) of planned procedure.</w:t>
      </w:r>
    </w:p>
    <w:p w:rsidR="00F81A30" w:rsidRPr="00F81A30" w:rsidRDefault="00F81A30" w:rsidP="00F81A30">
      <w:pPr>
        <w:autoSpaceDE w:val="0"/>
        <w:autoSpaceDN w:val="0"/>
        <w:adjustRightInd w:val="0"/>
        <w:rPr>
          <w:rFonts w:cs="Arial"/>
        </w:rPr>
      </w:pPr>
      <w:r w:rsidRPr="00F81A30">
        <w:rPr>
          <w:rFonts w:cs="Arial"/>
        </w:rPr>
        <w:t>2. In collaboration with nurse, determine catheter removal time and ensure patient education.</w:t>
      </w:r>
    </w:p>
    <w:p w:rsidR="00F81A30" w:rsidRPr="00F81A30" w:rsidRDefault="00F81A30" w:rsidP="00F81A30">
      <w:pPr>
        <w:autoSpaceDE w:val="0"/>
        <w:autoSpaceDN w:val="0"/>
        <w:adjustRightInd w:val="0"/>
        <w:rPr>
          <w:rFonts w:cs="Arial"/>
        </w:rPr>
      </w:pPr>
      <w:r w:rsidRPr="00F81A30">
        <w:rPr>
          <w:rFonts w:cs="Arial"/>
        </w:rPr>
        <w:t>3. Ensure alternative venous access as needed; transfer or discontinue IV solutions.</w:t>
      </w:r>
    </w:p>
    <w:p w:rsidR="00F81A30" w:rsidRPr="00F81A30" w:rsidRDefault="00F81A30" w:rsidP="00F81A30">
      <w:pPr>
        <w:autoSpaceDE w:val="0"/>
        <w:autoSpaceDN w:val="0"/>
        <w:adjustRightInd w:val="0"/>
        <w:rPr>
          <w:rFonts w:cs="Arial"/>
        </w:rPr>
      </w:pPr>
      <w:r w:rsidRPr="00F81A30">
        <w:rPr>
          <w:rFonts w:cs="Arial"/>
        </w:rPr>
        <w:t>4. Decontaminate trolley/procedure tray</w:t>
      </w:r>
    </w:p>
    <w:p w:rsidR="00F81A30" w:rsidRPr="00F81A30" w:rsidRDefault="00F81A30" w:rsidP="00F81A30">
      <w:pPr>
        <w:autoSpaceDE w:val="0"/>
        <w:autoSpaceDN w:val="0"/>
        <w:adjustRightInd w:val="0"/>
        <w:rPr>
          <w:rFonts w:cs="Arial"/>
        </w:rPr>
      </w:pPr>
      <w:r w:rsidRPr="00F81A30">
        <w:rPr>
          <w:rFonts w:cs="Arial"/>
        </w:rPr>
        <w:t>Equipment List:</w:t>
      </w:r>
    </w:p>
    <w:p w:rsidR="00F81A30" w:rsidRPr="00F81A30" w:rsidRDefault="00F81A30" w:rsidP="00F81A30">
      <w:pPr>
        <w:autoSpaceDE w:val="0"/>
        <w:autoSpaceDN w:val="0"/>
        <w:adjustRightInd w:val="0"/>
        <w:rPr>
          <w:rFonts w:cs="Arial"/>
        </w:rPr>
      </w:pPr>
      <w:r w:rsidRPr="00F81A30">
        <w:rPr>
          <w:rFonts w:cs="Arial"/>
        </w:rPr>
        <w:t>• Personal protective equipment (non-sterile gloves, goggles, mask, gown)</w:t>
      </w:r>
    </w:p>
    <w:p w:rsidR="00F81A30" w:rsidRPr="00F81A30" w:rsidRDefault="00F81A30" w:rsidP="00F81A30">
      <w:pPr>
        <w:autoSpaceDE w:val="0"/>
        <w:autoSpaceDN w:val="0"/>
        <w:adjustRightInd w:val="0"/>
        <w:rPr>
          <w:rFonts w:cs="Arial"/>
        </w:rPr>
      </w:pPr>
      <w:r w:rsidRPr="00F81A30">
        <w:rPr>
          <w:rFonts w:cs="Arial"/>
        </w:rPr>
        <w:t>• Sterile scissors or suture removal kit</w:t>
      </w:r>
    </w:p>
    <w:p w:rsidR="00F81A30" w:rsidRPr="00F81A30" w:rsidRDefault="00F81A30" w:rsidP="00F81A30">
      <w:pPr>
        <w:autoSpaceDE w:val="0"/>
        <w:autoSpaceDN w:val="0"/>
        <w:adjustRightInd w:val="0"/>
        <w:rPr>
          <w:rFonts w:cs="Arial"/>
        </w:rPr>
      </w:pPr>
      <w:r w:rsidRPr="00F81A30">
        <w:rPr>
          <w:rFonts w:cs="Arial"/>
        </w:rPr>
        <w:t>• Sterile gloves</w:t>
      </w:r>
    </w:p>
    <w:p w:rsidR="00F81A30" w:rsidRPr="00F81A30" w:rsidRDefault="00F81A30" w:rsidP="00F81A30">
      <w:pPr>
        <w:autoSpaceDE w:val="0"/>
        <w:autoSpaceDN w:val="0"/>
        <w:adjustRightInd w:val="0"/>
        <w:rPr>
          <w:rFonts w:cs="Arial"/>
        </w:rPr>
      </w:pPr>
      <w:r w:rsidRPr="00F81A30">
        <w:rPr>
          <w:rFonts w:cs="Arial"/>
        </w:rPr>
        <w:t>• Sterile gauze pads (x2)</w:t>
      </w:r>
    </w:p>
    <w:p w:rsidR="00F81A30" w:rsidRPr="00F81A30" w:rsidRDefault="00F81A30" w:rsidP="00F81A30">
      <w:pPr>
        <w:autoSpaceDE w:val="0"/>
        <w:autoSpaceDN w:val="0"/>
        <w:adjustRightInd w:val="0"/>
        <w:rPr>
          <w:rFonts w:cs="Arial"/>
        </w:rPr>
      </w:pPr>
      <w:r w:rsidRPr="00F81A30">
        <w:rPr>
          <w:rFonts w:cs="Arial"/>
        </w:rPr>
        <w:t>• If tip culture: sterile surface (e.g. inner sterile glove wrapper); specimen cup labelled as “line tip”</w:t>
      </w:r>
    </w:p>
    <w:p w:rsidR="00F81A30" w:rsidRPr="00F81A30" w:rsidRDefault="00F81A30" w:rsidP="00F81A30">
      <w:pPr>
        <w:autoSpaceDE w:val="0"/>
        <w:autoSpaceDN w:val="0"/>
        <w:adjustRightInd w:val="0"/>
        <w:rPr>
          <w:rFonts w:cs="Arial"/>
        </w:rPr>
      </w:pPr>
      <w:r w:rsidRPr="00F81A30">
        <w:rPr>
          <w:rFonts w:cs="Arial"/>
        </w:rPr>
        <w:lastRenderedPageBreak/>
        <w:t>• Ste</w:t>
      </w:r>
      <w:r w:rsidR="00134240">
        <w:rPr>
          <w:rFonts w:cs="Arial"/>
        </w:rPr>
        <w:t>rile air-occlusive dressing (“Ta</w:t>
      </w:r>
      <w:r w:rsidRPr="00F81A30">
        <w:rPr>
          <w:rFonts w:cs="Arial"/>
        </w:rPr>
        <w:t>gaderm”)</w:t>
      </w:r>
    </w:p>
    <w:p w:rsidR="00F81A30" w:rsidRPr="00F81A30" w:rsidRDefault="00F81A30" w:rsidP="00F81A30">
      <w:pPr>
        <w:autoSpaceDE w:val="0"/>
        <w:autoSpaceDN w:val="0"/>
        <w:adjustRightInd w:val="0"/>
        <w:rPr>
          <w:rFonts w:cs="Arial"/>
        </w:rPr>
      </w:pPr>
    </w:p>
    <w:p w:rsidR="00F81A30" w:rsidRPr="00F81A30" w:rsidRDefault="00F81A30" w:rsidP="00F81A30">
      <w:pPr>
        <w:autoSpaceDE w:val="0"/>
        <w:autoSpaceDN w:val="0"/>
        <w:adjustRightInd w:val="0"/>
        <w:rPr>
          <w:rFonts w:cs="Arial"/>
        </w:rPr>
      </w:pPr>
      <w:r w:rsidRPr="00F81A30">
        <w:rPr>
          <w:rFonts w:cs="Arial"/>
        </w:rPr>
        <w:t>AIR EMBOLISM WARNING:</w:t>
      </w:r>
    </w:p>
    <w:p w:rsidR="00F81A30" w:rsidRPr="00F81A30" w:rsidRDefault="00F81A30" w:rsidP="00F81A30">
      <w:pPr>
        <w:autoSpaceDE w:val="0"/>
        <w:autoSpaceDN w:val="0"/>
        <w:adjustRightInd w:val="0"/>
        <w:rPr>
          <w:rFonts w:cs="Arial"/>
        </w:rPr>
      </w:pPr>
      <w:r w:rsidRPr="00F81A30">
        <w:rPr>
          <w:rFonts w:cs="Arial"/>
        </w:rPr>
        <w:t>Air embolism can occur when air is drawn into an open subcutaneous tract during inspiration. Signs and symptoms of air embolism include: sucking sound, gasp or cough reflex (as air enters the pulmonary circulation), dyspnoea, agitation, sub sternal chest pain, light headedness, hypotension, change in mental status, focal neurologic deficits, tachycardia, new heart murmur, cardiac dysrhythmias, or livedo reticularis. Proper patient positioning, respiratory cycle timing, and rapid multi-lumen catheter withdrawal are recommended to reduce the risk of air embolism.</w:t>
      </w:r>
    </w:p>
    <w:p w:rsidR="00F81A30" w:rsidRPr="00F81A30" w:rsidRDefault="00F81A30" w:rsidP="00F81A30">
      <w:pPr>
        <w:autoSpaceDE w:val="0"/>
        <w:autoSpaceDN w:val="0"/>
        <w:adjustRightInd w:val="0"/>
        <w:rPr>
          <w:rFonts w:cs="Arial"/>
        </w:rPr>
      </w:pPr>
      <w:r w:rsidRPr="00F81A30">
        <w:rPr>
          <w:rFonts w:cs="Arial"/>
        </w:rPr>
        <w:t>For signs or symptoms of air embolus:</w:t>
      </w:r>
    </w:p>
    <w:p w:rsidR="00F81A30" w:rsidRPr="00F81A30" w:rsidRDefault="00F81A30" w:rsidP="00F81A30">
      <w:pPr>
        <w:autoSpaceDE w:val="0"/>
        <w:autoSpaceDN w:val="0"/>
        <w:adjustRightInd w:val="0"/>
        <w:rPr>
          <w:rFonts w:cs="Arial"/>
        </w:rPr>
      </w:pPr>
      <w:r w:rsidRPr="00F81A30">
        <w:rPr>
          <w:rFonts w:cs="Arial"/>
        </w:rPr>
        <w:t>1. Immediately place the patient in the left lateral Trendelenburg position.</w:t>
      </w:r>
    </w:p>
    <w:p w:rsidR="00F81A30" w:rsidRPr="00F81A30" w:rsidRDefault="00F81A30" w:rsidP="00F81A30">
      <w:pPr>
        <w:autoSpaceDE w:val="0"/>
        <w:autoSpaceDN w:val="0"/>
        <w:adjustRightInd w:val="0"/>
        <w:rPr>
          <w:rFonts w:cs="Arial"/>
        </w:rPr>
      </w:pPr>
      <w:r w:rsidRPr="00F81A30">
        <w:rPr>
          <w:rFonts w:cs="Arial"/>
        </w:rPr>
        <w:t>2. Request assistance from supervising staff.</w:t>
      </w:r>
    </w:p>
    <w:p w:rsidR="00F81A30" w:rsidRPr="00F81A30" w:rsidRDefault="00F81A30" w:rsidP="00F81A30">
      <w:pPr>
        <w:autoSpaceDE w:val="0"/>
        <w:autoSpaceDN w:val="0"/>
        <w:adjustRightInd w:val="0"/>
        <w:rPr>
          <w:rFonts w:cs="Arial"/>
        </w:rPr>
      </w:pPr>
      <w:r w:rsidRPr="00F81A30">
        <w:rPr>
          <w:rFonts w:cs="Arial"/>
        </w:rPr>
        <w:t>Procedure:</w:t>
      </w:r>
    </w:p>
    <w:p w:rsidR="00F81A30" w:rsidRPr="00F81A30" w:rsidRDefault="00F81A30" w:rsidP="00F81A30">
      <w:pPr>
        <w:autoSpaceDE w:val="0"/>
        <w:autoSpaceDN w:val="0"/>
        <w:adjustRightInd w:val="0"/>
        <w:rPr>
          <w:rFonts w:cs="Arial"/>
        </w:rPr>
      </w:pPr>
      <w:r w:rsidRPr="00F81A30">
        <w:rPr>
          <w:rFonts w:cs="Arial"/>
        </w:rPr>
        <w:t>1. Time Out</w:t>
      </w:r>
    </w:p>
    <w:p w:rsidR="00F81A30" w:rsidRPr="00F81A30" w:rsidRDefault="00F81A30" w:rsidP="00F81A30">
      <w:pPr>
        <w:autoSpaceDE w:val="0"/>
        <w:autoSpaceDN w:val="0"/>
        <w:adjustRightInd w:val="0"/>
        <w:rPr>
          <w:rFonts w:cs="Arial"/>
        </w:rPr>
      </w:pPr>
      <w:r w:rsidRPr="00F81A30">
        <w:rPr>
          <w:rFonts w:cs="Arial"/>
        </w:rPr>
        <w:t>a. Verify correct patient (two identifiers).</w:t>
      </w:r>
    </w:p>
    <w:p w:rsidR="00F81A30" w:rsidRPr="00F81A30" w:rsidRDefault="00F81A30" w:rsidP="00F81A30">
      <w:pPr>
        <w:autoSpaceDE w:val="0"/>
        <w:autoSpaceDN w:val="0"/>
        <w:adjustRightInd w:val="0"/>
        <w:rPr>
          <w:rFonts w:cs="Arial"/>
        </w:rPr>
      </w:pPr>
      <w:r w:rsidRPr="00F81A30">
        <w:rPr>
          <w:rFonts w:cs="Arial"/>
        </w:rPr>
        <w:t>b. Verify site/line.</w:t>
      </w:r>
    </w:p>
    <w:p w:rsidR="00F81A30" w:rsidRPr="00F81A30" w:rsidRDefault="00F81A30" w:rsidP="00F81A30">
      <w:pPr>
        <w:autoSpaceDE w:val="0"/>
        <w:autoSpaceDN w:val="0"/>
        <w:adjustRightInd w:val="0"/>
        <w:rPr>
          <w:rFonts w:cs="Arial"/>
        </w:rPr>
      </w:pPr>
      <w:r w:rsidRPr="00F81A30">
        <w:rPr>
          <w:rFonts w:cs="Arial"/>
        </w:rPr>
        <w:t>c. Verify presence of necessary equipment.</w:t>
      </w:r>
    </w:p>
    <w:p w:rsidR="00F81A30" w:rsidRPr="00F81A30" w:rsidRDefault="00F81A30" w:rsidP="00F81A30">
      <w:pPr>
        <w:autoSpaceDE w:val="0"/>
        <w:autoSpaceDN w:val="0"/>
        <w:adjustRightInd w:val="0"/>
        <w:rPr>
          <w:rFonts w:cs="Arial"/>
        </w:rPr>
      </w:pPr>
      <w:r w:rsidRPr="00F81A30">
        <w:rPr>
          <w:rFonts w:cs="Arial"/>
        </w:rPr>
        <w:t>d. Verify transfer of IV solutions to alternative access, or IV discontinuation.</w:t>
      </w:r>
    </w:p>
    <w:p w:rsidR="00F81A30" w:rsidRPr="00F81A30" w:rsidRDefault="00F81A30" w:rsidP="00F81A30">
      <w:pPr>
        <w:autoSpaceDE w:val="0"/>
        <w:autoSpaceDN w:val="0"/>
        <w:adjustRightInd w:val="0"/>
        <w:rPr>
          <w:rFonts w:cs="Arial"/>
        </w:rPr>
      </w:pPr>
      <w:r w:rsidRPr="00F81A30">
        <w:rPr>
          <w:rFonts w:cs="Arial"/>
        </w:rPr>
        <w:t>2. Perform hand hygiene and apply personal protective equipment.</w:t>
      </w:r>
    </w:p>
    <w:p w:rsidR="00F81A30" w:rsidRPr="00F81A30" w:rsidRDefault="00F81A30" w:rsidP="00F81A30">
      <w:pPr>
        <w:autoSpaceDE w:val="0"/>
        <w:autoSpaceDN w:val="0"/>
        <w:adjustRightInd w:val="0"/>
        <w:rPr>
          <w:rFonts w:cs="Arial"/>
        </w:rPr>
      </w:pPr>
      <w:r w:rsidRPr="00F81A30">
        <w:rPr>
          <w:rFonts w:cs="Arial"/>
        </w:rPr>
        <w:t>3. Open sterile scissors or suture removal kit and sterile gauze pads.</w:t>
      </w:r>
    </w:p>
    <w:p w:rsidR="00F81A30" w:rsidRPr="00F81A30" w:rsidRDefault="00F81A30" w:rsidP="00F81A30">
      <w:pPr>
        <w:autoSpaceDE w:val="0"/>
        <w:autoSpaceDN w:val="0"/>
        <w:adjustRightInd w:val="0"/>
        <w:rPr>
          <w:rFonts w:cs="Arial"/>
        </w:rPr>
      </w:pPr>
      <w:r w:rsidRPr="00F81A30">
        <w:rPr>
          <w:rFonts w:cs="Arial"/>
        </w:rPr>
        <w:t>4. Place an absorbent pad near the catheter site.</w:t>
      </w:r>
    </w:p>
    <w:p w:rsidR="00F81A30" w:rsidRPr="00F81A30" w:rsidRDefault="00F81A30" w:rsidP="00F81A30">
      <w:pPr>
        <w:autoSpaceDE w:val="0"/>
        <w:autoSpaceDN w:val="0"/>
        <w:adjustRightInd w:val="0"/>
        <w:rPr>
          <w:rFonts w:cs="Arial"/>
        </w:rPr>
      </w:pPr>
      <w:r w:rsidRPr="00F81A30">
        <w:rPr>
          <w:rFonts w:cs="Arial"/>
        </w:rPr>
        <w:t>5. Monitor patient vital signs, pulse oximetry, and level of consciousness.</w:t>
      </w:r>
    </w:p>
    <w:p w:rsidR="00F81A30" w:rsidRPr="00F81A30" w:rsidRDefault="00F81A30" w:rsidP="00F81A30">
      <w:pPr>
        <w:autoSpaceDE w:val="0"/>
        <w:autoSpaceDN w:val="0"/>
        <w:adjustRightInd w:val="0"/>
        <w:rPr>
          <w:rFonts w:cs="Arial"/>
        </w:rPr>
      </w:pPr>
      <w:r w:rsidRPr="00F81A30">
        <w:rPr>
          <w:rFonts w:cs="Arial"/>
        </w:rPr>
        <w:t>6. Place patient in slight Trendelenburg position (or flat if Trendelenburg is not tolerated or contraindicated), with the head turned away from the catheter.</w:t>
      </w:r>
    </w:p>
    <w:p w:rsidR="00F81A30" w:rsidRPr="00F81A30" w:rsidRDefault="00F81A30" w:rsidP="00F81A30">
      <w:pPr>
        <w:autoSpaceDE w:val="0"/>
        <w:autoSpaceDN w:val="0"/>
        <w:adjustRightInd w:val="0"/>
        <w:rPr>
          <w:rFonts w:cs="Arial"/>
        </w:rPr>
      </w:pPr>
      <w:r w:rsidRPr="00F81A30">
        <w:rPr>
          <w:rFonts w:cs="Arial"/>
        </w:rPr>
        <w:t>7. Remove and discard the catheter dressing.</w:t>
      </w:r>
    </w:p>
    <w:p w:rsidR="00F81A30" w:rsidRPr="00F81A30" w:rsidRDefault="00F81A30" w:rsidP="00F81A30">
      <w:pPr>
        <w:autoSpaceDE w:val="0"/>
        <w:autoSpaceDN w:val="0"/>
        <w:adjustRightInd w:val="0"/>
        <w:rPr>
          <w:rFonts w:cs="Arial"/>
        </w:rPr>
      </w:pPr>
      <w:r w:rsidRPr="00F81A30">
        <w:rPr>
          <w:rFonts w:cs="Arial"/>
        </w:rPr>
        <w:t>8. Remove non sterile gloves, perform hand hygiene, and then apply sterile gloves.</w:t>
      </w:r>
    </w:p>
    <w:p w:rsidR="00F81A30" w:rsidRPr="00F81A30" w:rsidRDefault="00F81A30" w:rsidP="00F81A30">
      <w:pPr>
        <w:autoSpaceDE w:val="0"/>
        <w:autoSpaceDN w:val="0"/>
        <w:adjustRightInd w:val="0"/>
        <w:rPr>
          <w:rFonts w:cs="Arial"/>
        </w:rPr>
      </w:pPr>
      <w:r w:rsidRPr="00F81A30">
        <w:rPr>
          <w:rFonts w:cs="Arial"/>
        </w:rPr>
        <w:t>9. Remove the securing suture(s).</w:t>
      </w:r>
    </w:p>
    <w:p w:rsidR="00F81A30" w:rsidRPr="00F81A30" w:rsidRDefault="00F81A30" w:rsidP="00F81A30">
      <w:pPr>
        <w:autoSpaceDE w:val="0"/>
        <w:autoSpaceDN w:val="0"/>
        <w:adjustRightInd w:val="0"/>
        <w:rPr>
          <w:rFonts w:cs="Arial"/>
        </w:rPr>
      </w:pPr>
      <w:r w:rsidRPr="00F81A30">
        <w:rPr>
          <w:rFonts w:cs="Arial"/>
        </w:rPr>
        <w:t>10. For IJ or subclavian catheter removal, have patient take a deep breath in and hold it; patient should be holding breath in Valsalva or exhaling during line removal. For patients on positive-pressure ventilation, withdraw during inspiratory phase.</w:t>
      </w:r>
    </w:p>
    <w:p w:rsidR="00F81A30" w:rsidRPr="00F81A30" w:rsidRDefault="00F81A30" w:rsidP="00F81A30">
      <w:pPr>
        <w:autoSpaceDE w:val="0"/>
        <w:autoSpaceDN w:val="0"/>
        <w:adjustRightInd w:val="0"/>
        <w:rPr>
          <w:rFonts w:cs="Arial"/>
        </w:rPr>
      </w:pPr>
      <w:r w:rsidRPr="00F81A30">
        <w:rPr>
          <w:rFonts w:cs="Arial"/>
        </w:rPr>
        <w:t>11. Withdraw the catheter, pulling parallel to the skin and using a steady motion; pull fairly quickly to minimize time with proximal and medial lumen openings exposed to air while the distal lumen remains intravascular. As the catheter exits the site, apply pressure with the antibiotic ointment gauze pad.</w:t>
      </w:r>
    </w:p>
    <w:p w:rsidR="00F81A30" w:rsidRPr="00F81A30" w:rsidRDefault="00F81A30" w:rsidP="00F81A30">
      <w:pPr>
        <w:autoSpaceDE w:val="0"/>
        <w:autoSpaceDN w:val="0"/>
        <w:adjustRightInd w:val="0"/>
        <w:rPr>
          <w:rFonts w:cs="Arial"/>
        </w:rPr>
      </w:pPr>
      <w:r w:rsidRPr="00F81A30">
        <w:rPr>
          <w:rFonts w:cs="Arial"/>
        </w:rPr>
        <w:t>12. Patient may exhale/inhale after the catheter is removed and pressure is held.</w:t>
      </w:r>
    </w:p>
    <w:p w:rsidR="00F81A30" w:rsidRPr="00F81A30" w:rsidRDefault="00F81A30" w:rsidP="00F81A30">
      <w:pPr>
        <w:autoSpaceDE w:val="0"/>
        <w:autoSpaceDN w:val="0"/>
        <w:adjustRightInd w:val="0"/>
        <w:rPr>
          <w:rFonts w:cs="Arial"/>
        </w:rPr>
      </w:pPr>
      <w:r w:rsidRPr="00F81A30">
        <w:rPr>
          <w:rFonts w:cs="Arial"/>
        </w:rPr>
        <w:t>13. Lay the catheter on an absorbent pad (or use sterile surface for culture). Check to be sure that the entire catheter was removed. If culturing the tip, cut with sterile scissors into the specimen cup.</w:t>
      </w:r>
    </w:p>
    <w:p w:rsidR="00F81A30" w:rsidRPr="00F81A30" w:rsidRDefault="00F81A30" w:rsidP="00F81A30">
      <w:pPr>
        <w:autoSpaceDE w:val="0"/>
        <w:autoSpaceDN w:val="0"/>
        <w:adjustRightInd w:val="0"/>
        <w:rPr>
          <w:rFonts w:cs="Arial"/>
        </w:rPr>
      </w:pPr>
      <w:r w:rsidRPr="00F81A30">
        <w:rPr>
          <w:rFonts w:cs="Arial"/>
        </w:rPr>
        <w:t>14. Continue firm, direct pressure over the insertion site with the gauze pad until bleeding stops.</w:t>
      </w:r>
    </w:p>
    <w:p w:rsidR="00F81A30" w:rsidRPr="00F81A30" w:rsidRDefault="00F81A30" w:rsidP="00F81A30">
      <w:pPr>
        <w:autoSpaceDE w:val="0"/>
        <w:autoSpaceDN w:val="0"/>
        <w:adjustRightInd w:val="0"/>
        <w:rPr>
          <w:rFonts w:cs="Arial"/>
        </w:rPr>
      </w:pPr>
      <w:r w:rsidRPr="00F81A30">
        <w:rPr>
          <w:rFonts w:cs="Arial"/>
        </w:rPr>
        <w:t>15. Apply a sterile, air-occlusive dressing firmly over the gauze pad.</w:t>
      </w:r>
    </w:p>
    <w:p w:rsidR="00F81A30" w:rsidRPr="00F81A30" w:rsidRDefault="00F81A30" w:rsidP="00F81A30">
      <w:pPr>
        <w:autoSpaceDE w:val="0"/>
        <w:autoSpaceDN w:val="0"/>
        <w:adjustRightInd w:val="0"/>
        <w:rPr>
          <w:rFonts w:cs="Arial"/>
        </w:rPr>
      </w:pPr>
      <w:r w:rsidRPr="00F81A30">
        <w:rPr>
          <w:rFonts w:cs="Arial"/>
        </w:rPr>
        <w:t>16. Dispose of used materials as appropriate; decontaminate trolley /tray, remove PPE and decontaminate hands.</w:t>
      </w:r>
    </w:p>
    <w:p w:rsidR="00F81A30" w:rsidRPr="00F81A30" w:rsidRDefault="00F81A30" w:rsidP="00F81A30">
      <w:pPr>
        <w:autoSpaceDE w:val="0"/>
        <w:autoSpaceDN w:val="0"/>
        <w:adjustRightInd w:val="0"/>
        <w:rPr>
          <w:rFonts w:cs="Arial"/>
        </w:rPr>
      </w:pPr>
      <w:r w:rsidRPr="00F81A30">
        <w:rPr>
          <w:rFonts w:cs="Arial"/>
        </w:rPr>
        <w:t>17. Document the procedure.</w:t>
      </w:r>
    </w:p>
    <w:p w:rsidR="00F81A30" w:rsidRPr="00F81A30" w:rsidRDefault="00F81A30" w:rsidP="00F81A30">
      <w:pPr>
        <w:autoSpaceDE w:val="0"/>
        <w:autoSpaceDN w:val="0"/>
        <w:adjustRightInd w:val="0"/>
        <w:rPr>
          <w:rFonts w:cs="Arial"/>
        </w:rPr>
      </w:pPr>
      <w:r w:rsidRPr="00F81A30">
        <w:rPr>
          <w:rFonts w:cs="Arial"/>
        </w:rPr>
        <w:t>Procedure Follow Up and Nursing Orders:</w:t>
      </w:r>
    </w:p>
    <w:p w:rsidR="00F81A30" w:rsidRPr="00F81A30" w:rsidRDefault="00F81A30" w:rsidP="00F81A30">
      <w:pPr>
        <w:autoSpaceDE w:val="0"/>
        <w:autoSpaceDN w:val="0"/>
        <w:adjustRightInd w:val="0"/>
        <w:rPr>
          <w:rFonts w:cs="Arial"/>
        </w:rPr>
      </w:pPr>
      <w:r w:rsidRPr="00F81A30">
        <w:rPr>
          <w:rFonts w:cs="Arial"/>
        </w:rPr>
        <w:lastRenderedPageBreak/>
        <w:t>1. Patient maintains bed rest for at least 30 minutes after catheter removal.</w:t>
      </w:r>
    </w:p>
    <w:p w:rsidR="00F81A30" w:rsidRPr="00F81A30" w:rsidRDefault="00F81A30" w:rsidP="00F81A30">
      <w:pPr>
        <w:autoSpaceDE w:val="0"/>
        <w:autoSpaceDN w:val="0"/>
        <w:adjustRightInd w:val="0"/>
        <w:rPr>
          <w:rFonts w:cs="Arial"/>
        </w:rPr>
      </w:pPr>
      <w:r w:rsidRPr="00F81A30">
        <w:rPr>
          <w:rFonts w:cs="Arial"/>
        </w:rPr>
        <w:t>2. Assess the site for signs of bleeding Q15 min x 2, Q 30 min x 2, then 1 hour later.</w:t>
      </w:r>
    </w:p>
    <w:p w:rsidR="009F09EB" w:rsidRDefault="00F81A30" w:rsidP="00F81A30">
      <w:pPr>
        <w:autoSpaceDE w:val="0"/>
        <w:autoSpaceDN w:val="0"/>
        <w:adjustRightInd w:val="0"/>
        <w:rPr>
          <w:rFonts w:cs="Arial"/>
          <w:szCs w:val="24"/>
          <w:lang w:eastAsia="en-GB"/>
        </w:rPr>
      </w:pPr>
      <w:r w:rsidRPr="00F81A30">
        <w:rPr>
          <w:rFonts w:cs="Arial"/>
        </w:rPr>
        <w:t>3. Change dressing and assess site Q 24 hours until site is epithelialized.</w:t>
      </w:r>
    </w:p>
    <w:p w:rsidR="009F09EB" w:rsidRDefault="009F09EB" w:rsidP="00013638">
      <w:pPr>
        <w:jc w:val="both"/>
        <w:rPr>
          <w:rFonts w:cs="Arial"/>
        </w:rPr>
      </w:pPr>
    </w:p>
    <w:p w:rsidR="009F09EB" w:rsidRDefault="009F09EB" w:rsidP="00013638">
      <w:pPr>
        <w:jc w:val="both"/>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jc w:val="center"/>
        <w:rPr>
          <w:rFonts w:cs="Arial"/>
          <w:b/>
        </w:rPr>
      </w:pPr>
    </w:p>
    <w:p w:rsidR="009F09EB" w:rsidRDefault="009F09EB">
      <w:pPr>
        <w:jc w:val="both"/>
        <w:rPr>
          <w:rFonts w:cs="Arial"/>
        </w:rPr>
      </w:pPr>
    </w:p>
    <w:p w:rsidR="009F09EB" w:rsidRDefault="009F09EB">
      <w:pPr>
        <w:jc w:val="both"/>
        <w:rPr>
          <w:rFonts w:cs="Arial"/>
        </w:rPr>
      </w:pPr>
      <w:r>
        <w:rPr>
          <w:rFonts w:cs="Arial"/>
        </w:rPr>
        <w:tab/>
      </w:r>
      <w:r>
        <w:rPr>
          <w:rFonts w:cs="Arial"/>
        </w:rPr>
        <w:tab/>
        <w:t xml:space="preserve"> </w:t>
      </w:r>
    </w:p>
    <w:p w:rsidR="009F09EB" w:rsidRDefault="009F09EB">
      <w:pPr>
        <w:jc w:val="both"/>
        <w:rPr>
          <w:rFonts w:cs="Arial"/>
        </w:rPr>
      </w:pPr>
      <w:r>
        <w:rPr>
          <w:rFonts w:cs="Arial"/>
        </w:rPr>
        <w:tab/>
      </w:r>
      <w:r>
        <w:rPr>
          <w:rFonts w:cs="Arial"/>
        </w:rPr>
        <w:tab/>
      </w:r>
      <w:r>
        <w:rPr>
          <w:rFonts w:cs="Arial"/>
        </w:rPr>
        <w:tab/>
      </w:r>
      <w:r>
        <w:rPr>
          <w:rFonts w:cs="Arial"/>
        </w:rPr>
        <w:tab/>
        <w:t xml:space="preserve"> </w:t>
      </w:r>
    </w:p>
    <w:p w:rsidR="009F09EB" w:rsidRDefault="009F09EB">
      <w:pPr>
        <w:rPr>
          <w:rFonts w:cs="Arial"/>
        </w:rPr>
      </w:pPr>
    </w:p>
    <w:p w:rsidR="009F09EB" w:rsidRDefault="009F09EB">
      <w:pPr>
        <w:rPr>
          <w:rFonts w:cs="Arial"/>
        </w:rPr>
      </w:pPr>
    </w:p>
    <w:p w:rsidR="009F09EB" w:rsidRDefault="009F09EB">
      <w:pPr>
        <w:rPr>
          <w:rFonts w:cs="Arial"/>
        </w:rPr>
      </w:pPr>
    </w:p>
    <w:p w:rsidR="009F09EB" w:rsidRDefault="009F09EB">
      <w:pPr>
        <w:rPr>
          <w:rFonts w:cs="Arial"/>
        </w:rPr>
      </w:pPr>
    </w:p>
    <w:sectPr w:rsidR="009F09EB" w:rsidSect="000D3F55">
      <w:headerReference w:type="default" r:id="rId12"/>
      <w:footerReference w:type="default" r:id="rId13"/>
      <w:pgSz w:w="11906" w:h="16838"/>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chrisnutt" w:date="2015-05-12T11:38:00Z" w:initials="c">
    <w:p w:rsidR="00CF4A17" w:rsidRDefault="00CF4A17">
      <w:pPr>
        <w:pStyle w:val="CommentText"/>
      </w:pPr>
      <w:r>
        <w:rPr>
          <w:rStyle w:val="CommentReference"/>
        </w:rPr>
        <w:annotationRef/>
      </w:r>
      <w:r>
        <w:t>Move to main text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35F" w:rsidRDefault="0078435F">
      <w:r>
        <w:separator/>
      </w:r>
    </w:p>
  </w:endnote>
  <w:endnote w:type="continuationSeparator" w:id="0">
    <w:p w:rsidR="0078435F" w:rsidRDefault="00784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ans">
    <w:altName w:val="StoneSans"/>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B09" w:rsidRDefault="00F321F7">
    <w:pPr>
      <w:pStyle w:val="Footer"/>
      <w:rPr>
        <w:sz w:val="20"/>
        <w:lang w:val="en-US"/>
      </w:rPr>
    </w:pPr>
    <w:r>
      <w:rPr>
        <w:sz w:val="20"/>
        <w:lang w:val="en-US"/>
      </w:rPr>
      <w:fldChar w:fldCharType="begin"/>
    </w:r>
    <w:r w:rsidR="006E6B09">
      <w:rPr>
        <w:sz w:val="20"/>
        <w:lang w:val="en-US"/>
      </w:rPr>
      <w:instrText xml:space="preserve"> FILENAME </w:instrText>
    </w:r>
    <w:r>
      <w:rPr>
        <w:sz w:val="20"/>
        <w:lang w:val="en-US"/>
      </w:rPr>
      <w:fldChar w:fldCharType="separate"/>
    </w:r>
    <w:r w:rsidR="00994773">
      <w:rPr>
        <w:noProof/>
        <w:sz w:val="20"/>
        <w:lang w:val="en-US"/>
      </w:rPr>
      <w:t>001  CVC April 15 final version _Dec 15.docx</w:t>
    </w:r>
    <w:r>
      <w:rPr>
        <w:sz w:val="20"/>
        <w:lang w:val="en-US"/>
      </w:rPr>
      <w:fldChar w:fldCharType="end"/>
    </w:r>
  </w:p>
  <w:p w:rsidR="006E6B09" w:rsidRPr="009D7919" w:rsidRDefault="00F46B51">
    <w:pPr>
      <w:pStyle w:val="Footer"/>
      <w:rPr>
        <w:sz w:val="20"/>
        <w:lang w:val="en-US"/>
      </w:rPr>
    </w:pPr>
    <w:r>
      <w:rPr>
        <w:sz w:val="20"/>
        <w:lang w:val="en-US"/>
      </w:rPr>
      <w:t>September 2015</w:t>
    </w:r>
    <w:r w:rsidR="006E6B09" w:rsidRPr="009D7919">
      <w:rPr>
        <w:sz w:val="20"/>
        <w:lang w:val="en-US"/>
      </w:rPr>
      <w:tab/>
    </w:r>
  </w:p>
  <w:p w:rsidR="006E6B09" w:rsidRDefault="006E6B09">
    <w:pPr>
      <w:pStyle w:val="Footer"/>
      <w:rPr>
        <w:sz w:val="20"/>
      </w:rPr>
    </w:pPr>
    <w:r>
      <w:rPr>
        <w:lang w:val="en-US"/>
      </w:rPr>
      <w:tab/>
    </w:r>
    <w:r>
      <w:rPr>
        <w:sz w:val="20"/>
        <w:lang w:val="en-US"/>
      </w:rPr>
      <w:t xml:space="preserve">- </w:t>
    </w:r>
    <w:r w:rsidR="00F321F7">
      <w:rPr>
        <w:sz w:val="20"/>
        <w:lang w:val="en-US"/>
      </w:rPr>
      <w:fldChar w:fldCharType="begin"/>
    </w:r>
    <w:r>
      <w:rPr>
        <w:sz w:val="20"/>
        <w:lang w:val="en-US"/>
      </w:rPr>
      <w:instrText xml:space="preserve"> PAGE </w:instrText>
    </w:r>
    <w:r w:rsidR="00F321F7">
      <w:rPr>
        <w:sz w:val="20"/>
        <w:lang w:val="en-US"/>
      </w:rPr>
      <w:fldChar w:fldCharType="separate"/>
    </w:r>
    <w:r w:rsidR="00EA5453">
      <w:rPr>
        <w:noProof/>
        <w:sz w:val="20"/>
        <w:lang w:val="en-US"/>
      </w:rPr>
      <w:t>1</w:t>
    </w:r>
    <w:r w:rsidR="00F321F7">
      <w:rPr>
        <w:sz w:val="20"/>
        <w:lang w:val="en-US"/>
      </w:rPr>
      <w:fldChar w:fldCharType="end"/>
    </w:r>
    <w:r>
      <w:rPr>
        <w:sz w:val="2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35F" w:rsidRDefault="0078435F">
      <w:r>
        <w:separator/>
      </w:r>
    </w:p>
  </w:footnote>
  <w:footnote w:type="continuationSeparator" w:id="0">
    <w:p w:rsidR="0078435F" w:rsidRDefault="007843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B09" w:rsidRPr="00CC6717" w:rsidRDefault="006E6B09">
    <w:pPr>
      <w:pStyle w:val="Header"/>
      <w:rPr>
        <w:sz w:val="20"/>
      </w:rPr>
    </w:pPr>
    <w:r>
      <w:tab/>
    </w:r>
    <w:r>
      <w:tab/>
    </w:r>
    <w:r w:rsidRPr="00CC6717">
      <w:rPr>
        <w:sz w:val="20"/>
      </w:rPr>
      <w:t>CCaNNI 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D09"/>
    <w:multiLevelType w:val="hybridMultilevel"/>
    <w:tmpl w:val="65469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EC03EB"/>
    <w:multiLevelType w:val="hybridMultilevel"/>
    <w:tmpl w:val="058652DC"/>
    <w:lvl w:ilvl="0" w:tplc="286AF062">
      <w:start w:val="1"/>
      <w:numFmt w:val="bullet"/>
      <w:lvlText w:val=""/>
      <w:lvlJc w:val="left"/>
      <w:pPr>
        <w:tabs>
          <w:tab w:val="num" w:pos="720"/>
        </w:tabs>
        <w:ind w:left="720" w:hanging="360"/>
      </w:pPr>
      <w:rPr>
        <w:rFonts w:ascii="Symbol" w:hAnsi="Symbol" w:hint="default"/>
      </w:rPr>
    </w:lvl>
    <w:lvl w:ilvl="1" w:tplc="623877D4" w:tentative="1">
      <w:start w:val="1"/>
      <w:numFmt w:val="bullet"/>
      <w:lvlText w:val="o"/>
      <w:lvlJc w:val="left"/>
      <w:pPr>
        <w:tabs>
          <w:tab w:val="num" w:pos="1440"/>
        </w:tabs>
        <w:ind w:left="1440" w:hanging="360"/>
      </w:pPr>
      <w:rPr>
        <w:rFonts w:ascii="Courier New" w:hAnsi="Courier New" w:cs="Courier New" w:hint="default"/>
      </w:rPr>
    </w:lvl>
    <w:lvl w:ilvl="2" w:tplc="7EEEF472" w:tentative="1">
      <w:start w:val="1"/>
      <w:numFmt w:val="bullet"/>
      <w:lvlText w:val=""/>
      <w:lvlJc w:val="left"/>
      <w:pPr>
        <w:tabs>
          <w:tab w:val="num" w:pos="2160"/>
        </w:tabs>
        <w:ind w:left="2160" w:hanging="360"/>
      </w:pPr>
      <w:rPr>
        <w:rFonts w:ascii="Wingdings" w:hAnsi="Wingdings" w:hint="default"/>
      </w:rPr>
    </w:lvl>
    <w:lvl w:ilvl="3" w:tplc="391EB776" w:tentative="1">
      <w:start w:val="1"/>
      <w:numFmt w:val="bullet"/>
      <w:lvlText w:val=""/>
      <w:lvlJc w:val="left"/>
      <w:pPr>
        <w:tabs>
          <w:tab w:val="num" w:pos="2880"/>
        </w:tabs>
        <w:ind w:left="2880" w:hanging="360"/>
      </w:pPr>
      <w:rPr>
        <w:rFonts w:ascii="Symbol" w:hAnsi="Symbol" w:hint="default"/>
      </w:rPr>
    </w:lvl>
    <w:lvl w:ilvl="4" w:tplc="CAE8A64E" w:tentative="1">
      <w:start w:val="1"/>
      <w:numFmt w:val="bullet"/>
      <w:lvlText w:val="o"/>
      <w:lvlJc w:val="left"/>
      <w:pPr>
        <w:tabs>
          <w:tab w:val="num" w:pos="3600"/>
        </w:tabs>
        <w:ind w:left="3600" w:hanging="360"/>
      </w:pPr>
      <w:rPr>
        <w:rFonts w:ascii="Courier New" w:hAnsi="Courier New" w:cs="Courier New" w:hint="default"/>
      </w:rPr>
    </w:lvl>
    <w:lvl w:ilvl="5" w:tplc="8CBC8BCA" w:tentative="1">
      <w:start w:val="1"/>
      <w:numFmt w:val="bullet"/>
      <w:lvlText w:val=""/>
      <w:lvlJc w:val="left"/>
      <w:pPr>
        <w:tabs>
          <w:tab w:val="num" w:pos="4320"/>
        </w:tabs>
        <w:ind w:left="4320" w:hanging="360"/>
      </w:pPr>
      <w:rPr>
        <w:rFonts w:ascii="Wingdings" w:hAnsi="Wingdings" w:hint="default"/>
      </w:rPr>
    </w:lvl>
    <w:lvl w:ilvl="6" w:tplc="4ADE8A64" w:tentative="1">
      <w:start w:val="1"/>
      <w:numFmt w:val="bullet"/>
      <w:lvlText w:val=""/>
      <w:lvlJc w:val="left"/>
      <w:pPr>
        <w:tabs>
          <w:tab w:val="num" w:pos="5040"/>
        </w:tabs>
        <w:ind w:left="5040" w:hanging="360"/>
      </w:pPr>
      <w:rPr>
        <w:rFonts w:ascii="Symbol" w:hAnsi="Symbol" w:hint="default"/>
      </w:rPr>
    </w:lvl>
    <w:lvl w:ilvl="7" w:tplc="9CF27030" w:tentative="1">
      <w:start w:val="1"/>
      <w:numFmt w:val="bullet"/>
      <w:lvlText w:val="o"/>
      <w:lvlJc w:val="left"/>
      <w:pPr>
        <w:tabs>
          <w:tab w:val="num" w:pos="5760"/>
        </w:tabs>
        <w:ind w:left="5760" w:hanging="360"/>
      </w:pPr>
      <w:rPr>
        <w:rFonts w:ascii="Courier New" w:hAnsi="Courier New" w:cs="Courier New" w:hint="default"/>
      </w:rPr>
    </w:lvl>
    <w:lvl w:ilvl="8" w:tplc="6E4847BA" w:tentative="1">
      <w:start w:val="1"/>
      <w:numFmt w:val="bullet"/>
      <w:lvlText w:val=""/>
      <w:lvlJc w:val="left"/>
      <w:pPr>
        <w:tabs>
          <w:tab w:val="num" w:pos="6480"/>
        </w:tabs>
        <w:ind w:left="6480" w:hanging="360"/>
      </w:pPr>
      <w:rPr>
        <w:rFonts w:ascii="Wingdings" w:hAnsi="Wingdings" w:hint="default"/>
      </w:rPr>
    </w:lvl>
  </w:abstractNum>
  <w:abstractNum w:abstractNumId="2">
    <w:nsid w:val="08177CEA"/>
    <w:multiLevelType w:val="hybridMultilevel"/>
    <w:tmpl w:val="069847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918076F"/>
    <w:multiLevelType w:val="hybridMultilevel"/>
    <w:tmpl w:val="B2169D5C"/>
    <w:lvl w:ilvl="0" w:tplc="408484E4">
      <w:start w:val="1"/>
      <w:numFmt w:val="bullet"/>
      <w:lvlText w:val=""/>
      <w:lvlJc w:val="left"/>
      <w:pPr>
        <w:tabs>
          <w:tab w:val="num" w:pos="720"/>
        </w:tabs>
        <w:ind w:left="720" w:hanging="360"/>
      </w:pPr>
      <w:rPr>
        <w:rFonts w:ascii="Symbol" w:hAnsi="Symbol" w:hint="default"/>
      </w:rPr>
    </w:lvl>
    <w:lvl w:ilvl="1" w:tplc="9932B106" w:tentative="1">
      <w:start w:val="1"/>
      <w:numFmt w:val="bullet"/>
      <w:lvlText w:val="o"/>
      <w:lvlJc w:val="left"/>
      <w:pPr>
        <w:tabs>
          <w:tab w:val="num" w:pos="1440"/>
        </w:tabs>
        <w:ind w:left="1440" w:hanging="360"/>
      </w:pPr>
      <w:rPr>
        <w:rFonts w:ascii="Courier New" w:hAnsi="Courier New" w:cs="Courier New" w:hint="default"/>
      </w:rPr>
    </w:lvl>
    <w:lvl w:ilvl="2" w:tplc="DEC606B0" w:tentative="1">
      <w:start w:val="1"/>
      <w:numFmt w:val="bullet"/>
      <w:lvlText w:val=""/>
      <w:lvlJc w:val="left"/>
      <w:pPr>
        <w:tabs>
          <w:tab w:val="num" w:pos="2160"/>
        </w:tabs>
        <w:ind w:left="2160" w:hanging="360"/>
      </w:pPr>
      <w:rPr>
        <w:rFonts w:ascii="Wingdings" w:hAnsi="Wingdings" w:hint="default"/>
      </w:rPr>
    </w:lvl>
    <w:lvl w:ilvl="3" w:tplc="D8C0F52C" w:tentative="1">
      <w:start w:val="1"/>
      <w:numFmt w:val="bullet"/>
      <w:lvlText w:val=""/>
      <w:lvlJc w:val="left"/>
      <w:pPr>
        <w:tabs>
          <w:tab w:val="num" w:pos="2880"/>
        </w:tabs>
        <w:ind w:left="2880" w:hanging="360"/>
      </w:pPr>
      <w:rPr>
        <w:rFonts w:ascii="Symbol" w:hAnsi="Symbol" w:hint="default"/>
      </w:rPr>
    </w:lvl>
    <w:lvl w:ilvl="4" w:tplc="49129B32" w:tentative="1">
      <w:start w:val="1"/>
      <w:numFmt w:val="bullet"/>
      <w:lvlText w:val="o"/>
      <w:lvlJc w:val="left"/>
      <w:pPr>
        <w:tabs>
          <w:tab w:val="num" w:pos="3600"/>
        </w:tabs>
        <w:ind w:left="3600" w:hanging="360"/>
      </w:pPr>
      <w:rPr>
        <w:rFonts w:ascii="Courier New" w:hAnsi="Courier New" w:cs="Courier New" w:hint="default"/>
      </w:rPr>
    </w:lvl>
    <w:lvl w:ilvl="5" w:tplc="481EF2E2" w:tentative="1">
      <w:start w:val="1"/>
      <w:numFmt w:val="bullet"/>
      <w:lvlText w:val=""/>
      <w:lvlJc w:val="left"/>
      <w:pPr>
        <w:tabs>
          <w:tab w:val="num" w:pos="4320"/>
        </w:tabs>
        <w:ind w:left="4320" w:hanging="360"/>
      </w:pPr>
      <w:rPr>
        <w:rFonts w:ascii="Wingdings" w:hAnsi="Wingdings" w:hint="default"/>
      </w:rPr>
    </w:lvl>
    <w:lvl w:ilvl="6" w:tplc="4EAA2F48" w:tentative="1">
      <w:start w:val="1"/>
      <w:numFmt w:val="bullet"/>
      <w:lvlText w:val=""/>
      <w:lvlJc w:val="left"/>
      <w:pPr>
        <w:tabs>
          <w:tab w:val="num" w:pos="5040"/>
        </w:tabs>
        <w:ind w:left="5040" w:hanging="360"/>
      </w:pPr>
      <w:rPr>
        <w:rFonts w:ascii="Symbol" w:hAnsi="Symbol" w:hint="default"/>
      </w:rPr>
    </w:lvl>
    <w:lvl w:ilvl="7" w:tplc="3BF0C062" w:tentative="1">
      <w:start w:val="1"/>
      <w:numFmt w:val="bullet"/>
      <w:lvlText w:val="o"/>
      <w:lvlJc w:val="left"/>
      <w:pPr>
        <w:tabs>
          <w:tab w:val="num" w:pos="5760"/>
        </w:tabs>
        <w:ind w:left="5760" w:hanging="360"/>
      </w:pPr>
      <w:rPr>
        <w:rFonts w:ascii="Courier New" w:hAnsi="Courier New" w:cs="Courier New" w:hint="default"/>
      </w:rPr>
    </w:lvl>
    <w:lvl w:ilvl="8" w:tplc="FF5282AA" w:tentative="1">
      <w:start w:val="1"/>
      <w:numFmt w:val="bullet"/>
      <w:lvlText w:val=""/>
      <w:lvlJc w:val="left"/>
      <w:pPr>
        <w:tabs>
          <w:tab w:val="num" w:pos="6480"/>
        </w:tabs>
        <w:ind w:left="6480" w:hanging="360"/>
      </w:pPr>
      <w:rPr>
        <w:rFonts w:ascii="Wingdings" w:hAnsi="Wingdings" w:hint="default"/>
      </w:rPr>
    </w:lvl>
  </w:abstractNum>
  <w:abstractNum w:abstractNumId="4">
    <w:nsid w:val="0A784A6C"/>
    <w:multiLevelType w:val="hybridMultilevel"/>
    <w:tmpl w:val="931E7574"/>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
    <w:nsid w:val="1A5B5277"/>
    <w:multiLevelType w:val="hybridMultilevel"/>
    <w:tmpl w:val="2EFCFCEE"/>
    <w:lvl w:ilvl="0" w:tplc="C268C39E">
      <w:start w:val="1"/>
      <w:numFmt w:val="bullet"/>
      <w:lvlText w:val=""/>
      <w:lvlJc w:val="left"/>
      <w:pPr>
        <w:tabs>
          <w:tab w:val="num" w:pos="720"/>
        </w:tabs>
        <w:ind w:left="720" w:hanging="360"/>
      </w:pPr>
      <w:rPr>
        <w:rFonts w:ascii="Symbol" w:hAnsi="Symbol" w:hint="default"/>
      </w:rPr>
    </w:lvl>
    <w:lvl w:ilvl="1" w:tplc="1570DB20">
      <w:start w:val="1"/>
      <w:numFmt w:val="bullet"/>
      <w:lvlText w:val="o"/>
      <w:lvlJc w:val="left"/>
      <w:pPr>
        <w:tabs>
          <w:tab w:val="num" w:pos="1440"/>
        </w:tabs>
        <w:ind w:left="1440" w:hanging="360"/>
      </w:pPr>
      <w:rPr>
        <w:rFonts w:ascii="Courier New" w:hAnsi="Courier New" w:cs="Courier New" w:hint="default"/>
      </w:rPr>
    </w:lvl>
    <w:lvl w:ilvl="2" w:tplc="EC3442E6" w:tentative="1">
      <w:start w:val="1"/>
      <w:numFmt w:val="bullet"/>
      <w:lvlText w:val=""/>
      <w:lvlJc w:val="left"/>
      <w:pPr>
        <w:tabs>
          <w:tab w:val="num" w:pos="2160"/>
        </w:tabs>
        <w:ind w:left="2160" w:hanging="360"/>
      </w:pPr>
      <w:rPr>
        <w:rFonts w:ascii="Wingdings" w:hAnsi="Wingdings" w:hint="default"/>
      </w:rPr>
    </w:lvl>
    <w:lvl w:ilvl="3" w:tplc="018A7D2E" w:tentative="1">
      <w:start w:val="1"/>
      <w:numFmt w:val="bullet"/>
      <w:lvlText w:val=""/>
      <w:lvlJc w:val="left"/>
      <w:pPr>
        <w:tabs>
          <w:tab w:val="num" w:pos="2880"/>
        </w:tabs>
        <w:ind w:left="2880" w:hanging="360"/>
      </w:pPr>
      <w:rPr>
        <w:rFonts w:ascii="Symbol" w:hAnsi="Symbol" w:hint="default"/>
      </w:rPr>
    </w:lvl>
    <w:lvl w:ilvl="4" w:tplc="CBC85202" w:tentative="1">
      <w:start w:val="1"/>
      <w:numFmt w:val="bullet"/>
      <w:lvlText w:val="o"/>
      <w:lvlJc w:val="left"/>
      <w:pPr>
        <w:tabs>
          <w:tab w:val="num" w:pos="3600"/>
        </w:tabs>
        <w:ind w:left="3600" w:hanging="360"/>
      </w:pPr>
      <w:rPr>
        <w:rFonts w:ascii="Courier New" w:hAnsi="Courier New" w:cs="Courier New" w:hint="default"/>
      </w:rPr>
    </w:lvl>
    <w:lvl w:ilvl="5" w:tplc="75C2272E" w:tentative="1">
      <w:start w:val="1"/>
      <w:numFmt w:val="bullet"/>
      <w:lvlText w:val=""/>
      <w:lvlJc w:val="left"/>
      <w:pPr>
        <w:tabs>
          <w:tab w:val="num" w:pos="4320"/>
        </w:tabs>
        <w:ind w:left="4320" w:hanging="360"/>
      </w:pPr>
      <w:rPr>
        <w:rFonts w:ascii="Wingdings" w:hAnsi="Wingdings" w:hint="default"/>
      </w:rPr>
    </w:lvl>
    <w:lvl w:ilvl="6" w:tplc="9D7AC042" w:tentative="1">
      <w:start w:val="1"/>
      <w:numFmt w:val="bullet"/>
      <w:lvlText w:val=""/>
      <w:lvlJc w:val="left"/>
      <w:pPr>
        <w:tabs>
          <w:tab w:val="num" w:pos="5040"/>
        </w:tabs>
        <w:ind w:left="5040" w:hanging="360"/>
      </w:pPr>
      <w:rPr>
        <w:rFonts w:ascii="Symbol" w:hAnsi="Symbol" w:hint="default"/>
      </w:rPr>
    </w:lvl>
    <w:lvl w:ilvl="7" w:tplc="18AA950A" w:tentative="1">
      <w:start w:val="1"/>
      <w:numFmt w:val="bullet"/>
      <w:lvlText w:val="o"/>
      <w:lvlJc w:val="left"/>
      <w:pPr>
        <w:tabs>
          <w:tab w:val="num" w:pos="5760"/>
        </w:tabs>
        <w:ind w:left="5760" w:hanging="360"/>
      </w:pPr>
      <w:rPr>
        <w:rFonts w:ascii="Courier New" w:hAnsi="Courier New" w:cs="Courier New" w:hint="default"/>
      </w:rPr>
    </w:lvl>
    <w:lvl w:ilvl="8" w:tplc="3864C2D2" w:tentative="1">
      <w:start w:val="1"/>
      <w:numFmt w:val="bullet"/>
      <w:lvlText w:val=""/>
      <w:lvlJc w:val="left"/>
      <w:pPr>
        <w:tabs>
          <w:tab w:val="num" w:pos="6480"/>
        </w:tabs>
        <w:ind w:left="6480" w:hanging="360"/>
      </w:pPr>
      <w:rPr>
        <w:rFonts w:ascii="Wingdings" w:hAnsi="Wingdings" w:hint="default"/>
      </w:rPr>
    </w:lvl>
  </w:abstractNum>
  <w:abstractNum w:abstractNumId="6">
    <w:nsid w:val="233551BF"/>
    <w:multiLevelType w:val="hybridMultilevel"/>
    <w:tmpl w:val="A850B5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258D3C0A"/>
    <w:multiLevelType w:val="hybridMultilevel"/>
    <w:tmpl w:val="FDEE430C"/>
    <w:lvl w:ilvl="0" w:tplc="6B9217D4">
      <w:start w:val="1"/>
      <w:numFmt w:val="bullet"/>
      <w:lvlText w:val=""/>
      <w:lvlJc w:val="left"/>
      <w:pPr>
        <w:tabs>
          <w:tab w:val="num" w:pos="720"/>
        </w:tabs>
        <w:ind w:left="720" w:hanging="360"/>
      </w:pPr>
      <w:rPr>
        <w:rFonts w:ascii="Symbol" w:hAnsi="Symbol" w:hint="default"/>
      </w:rPr>
    </w:lvl>
    <w:lvl w:ilvl="1" w:tplc="607CEF40" w:tentative="1">
      <w:start w:val="1"/>
      <w:numFmt w:val="bullet"/>
      <w:lvlText w:val="o"/>
      <w:lvlJc w:val="left"/>
      <w:pPr>
        <w:tabs>
          <w:tab w:val="num" w:pos="1440"/>
        </w:tabs>
        <w:ind w:left="1440" w:hanging="360"/>
      </w:pPr>
      <w:rPr>
        <w:rFonts w:ascii="Courier New" w:hAnsi="Courier New" w:cs="Courier New" w:hint="default"/>
      </w:rPr>
    </w:lvl>
    <w:lvl w:ilvl="2" w:tplc="04DA8364" w:tentative="1">
      <w:start w:val="1"/>
      <w:numFmt w:val="bullet"/>
      <w:lvlText w:val=""/>
      <w:lvlJc w:val="left"/>
      <w:pPr>
        <w:tabs>
          <w:tab w:val="num" w:pos="2160"/>
        </w:tabs>
        <w:ind w:left="2160" w:hanging="360"/>
      </w:pPr>
      <w:rPr>
        <w:rFonts w:ascii="Wingdings" w:hAnsi="Wingdings" w:hint="default"/>
      </w:rPr>
    </w:lvl>
    <w:lvl w:ilvl="3" w:tplc="02C0D872" w:tentative="1">
      <w:start w:val="1"/>
      <w:numFmt w:val="bullet"/>
      <w:lvlText w:val=""/>
      <w:lvlJc w:val="left"/>
      <w:pPr>
        <w:tabs>
          <w:tab w:val="num" w:pos="2880"/>
        </w:tabs>
        <w:ind w:left="2880" w:hanging="360"/>
      </w:pPr>
      <w:rPr>
        <w:rFonts w:ascii="Symbol" w:hAnsi="Symbol" w:hint="default"/>
      </w:rPr>
    </w:lvl>
    <w:lvl w:ilvl="4" w:tplc="30988664" w:tentative="1">
      <w:start w:val="1"/>
      <w:numFmt w:val="bullet"/>
      <w:lvlText w:val="o"/>
      <w:lvlJc w:val="left"/>
      <w:pPr>
        <w:tabs>
          <w:tab w:val="num" w:pos="3600"/>
        </w:tabs>
        <w:ind w:left="3600" w:hanging="360"/>
      </w:pPr>
      <w:rPr>
        <w:rFonts w:ascii="Courier New" w:hAnsi="Courier New" w:cs="Courier New" w:hint="default"/>
      </w:rPr>
    </w:lvl>
    <w:lvl w:ilvl="5" w:tplc="19C8853E" w:tentative="1">
      <w:start w:val="1"/>
      <w:numFmt w:val="bullet"/>
      <w:lvlText w:val=""/>
      <w:lvlJc w:val="left"/>
      <w:pPr>
        <w:tabs>
          <w:tab w:val="num" w:pos="4320"/>
        </w:tabs>
        <w:ind w:left="4320" w:hanging="360"/>
      </w:pPr>
      <w:rPr>
        <w:rFonts w:ascii="Wingdings" w:hAnsi="Wingdings" w:hint="default"/>
      </w:rPr>
    </w:lvl>
    <w:lvl w:ilvl="6" w:tplc="43661084" w:tentative="1">
      <w:start w:val="1"/>
      <w:numFmt w:val="bullet"/>
      <w:lvlText w:val=""/>
      <w:lvlJc w:val="left"/>
      <w:pPr>
        <w:tabs>
          <w:tab w:val="num" w:pos="5040"/>
        </w:tabs>
        <w:ind w:left="5040" w:hanging="360"/>
      </w:pPr>
      <w:rPr>
        <w:rFonts w:ascii="Symbol" w:hAnsi="Symbol" w:hint="default"/>
      </w:rPr>
    </w:lvl>
    <w:lvl w:ilvl="7" w:tplc="E1A07284" w:tentative="1">
      <w:start w:val="1"/>
      <w:numFmt w:val="bullet"/>
      <w:lvlText w:val="o"/>
      <w:lvlJc w:val="left"/>
      <w:pPr>
        <w:tabs>
          <w:tab w:val="num" w:pos="5760"/>
        </w:tabs>
        <w:ind w:left="5760" w:hanging="360"/>
      </w:pPr>
      <w:rPr>
        <w:rFonts w:ascii="Courier New" w:hAnsi="Courier New" w:cs="Courier New" w:hint="default"/>
      </w:rPr>
    </w:lvl>
    <w:lvl w:ilvl="8" w:tplc="D13C971C" w:tentative="1">
      <w:start w:val="1"/>
      <w:numFmt w:val="bullet"/>
      <w:lvlText w:val=""/>
      <w:lvlJc w:val="left"/>
      <w:pPr>
        <w:tabs>
          <w:tab w:val="num" w:pos="6480"/>
        </w:tabs>
        <w:ind w:left="6480" w:hanging="360"/>
      </w:pPr>
      <w:rPr>
        <w:rFonts w:ascii="Wingdings" w:hAnsi="Wingdings" w:hint="default"/>
      </w:rPr>
    </w:lvl>
  </w:abstractNum>
  <w:abstractNum w:abstractNumId="8">
    <w:nsid w:val="262D48B2"/>
    <w:multiLevelType w:val="hybridMultilevel"/>
    <w:tmpl w:val="573854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6401CD8"/>
    <w:multiLevelType w:val="hybridMultilevel"/>
    <w:tmpl w:val="7CA4FDE4"/>
    <w:lvl w:ilvl="0" w:tplc="A6546BA0">
      <w:start w:val="1"/>
      <w:numFmt w:val="bullet"/>
      <w:lvlText w:val=""/>
      <w:lvlJc w:val="left"/>
      <w:pPr>
        <w:tabs>
          <w:tab w:val="num" w:pos="720"/>
        </w:tabs>
        <w:ind w:left="720" w:hanging="360"/>
      </w:pPr>
      <w:rPr>
        <w:rFonts w:ascii="Symbol" w:hAnsi="Symbol" w:hint="default"/>
      </w:rPr>
    </w:lvl>
    <w:lvl w:ilvl="1" w:tplc="3564A5F8" w:tentative="1">
      <w:start w:val="1"/>
      <w:numFmt w:val="bullet"/>
      <w:lvlText w:val="o"/>
      <w:lvlJc w:val="left"/>
      <w:pPr>
        <w:tabs>
          <w:tab w:val="num" w:pos="1440"/>
        </w:tabs>
        <w:ind w:left="1440" w:hanging="360"/>
      </w:pPr>
      <w:rPr>
        <w:rFonts w:ascii="Courier New" w:hAnsi="Courier New" w:cs="Courier New" w:hint="default"/>
      </w:rPr>
    </w:lvl>
    <w:lvl w:ilvl="2" w:tplc="B9D0FA0E" w:tentative="1">
      <w:start w:val="1"/>
      <w:numFmt w:val="bullet"/>
      <w:lvlText w:val=""/>
      <w:lvlJc w:val="left"/>
      <w:pPr>
        <w:tabs>
          <w:tab w:val="num" w:pos="2160"/>
        </w:tabs>
        <w:ind w:left="2160" w:hanging="360"/>
      </w:pPr>
      <w:rPr>
        <w:rFonts w:ascii="Wingdings" w:hAnsi="Wingdings" w:hint="default"/>
      </w:rPr>
    </w:lvl>
    <w:lvl w:ilvl="3" w:tplc="A380DA6C" w:tentative="1">
      <w:start w:val="1"/>
      <w:numFmt w:val="bullet"/>
      <w:lvlText w:val=""/>
      <w:lvlJc w:val="left"/>
      <w:pPr>
        <w:tabs>
          <w:tab w:val="num" w:pos="2880"/>
        </w:tabs>
        <w:ind w:left="2880" w:hanging="360"/>
      </w:pPr>
      <w:rPr>
        <w:rFonts w:ascii="Symbol" w:hAnsi="Symbol" w:hint="default"/>
      </w:rPr>
    </w:lvl>
    <w:lvl w:ilvl="4" w:tplc="08528230" w:tentative="1">
      <w:start w:val="1"/>
      <w:numFmt w:val="bullet"/>
      <w:lvlText w:val="o"/>
      <w:lvlJc w:val="left"/>
      <w:pPr>
        <w:tabs>
          <w:tab w:val="num" w:pos="3600"/>
        </w:tabs>
        <w:ind w:left="3600" w:hanging="360"/>
      </w:pPr>
      <w:rPr>
        <w:rFonts w:ascii="Courier New" w:hAnsi="Courier New" w:cs="Courier New" w:hint="default"/>
      </w:rPr>
    </w:lvl>
    <w:lvl w:ilvl="5" w:tplc="05780F54" w:tentative="1">
      <w:start w:val="1"/>
      <w:numFmt w:val="bullet"/>
      <w:lvlText w:val=""/>
      <w:lvlJc w:val="left"/>
      <w:pPr>
        <w:tabs>
          <w:tab w:val="num" w:pos="4320"/>
        </w:tabs>
        <w:ind w:left="4320" w:hanging="360"/>
      </w:pPr>
      <w:rPr>
        <w:rFonts w:ascii="Wingdings" w:hAnsi="Wingdings" w:hint="default"/>
      </w:rPr>
    </w:lvl>
    <w:lvl w:ilvl="6" w:tplc="529C8738" w:tentative="1">
      <w:start w:val="1"/>
      <w:numFmt w:val="bullet"/>
      <w:lvlText w:val=""/>
      <w:lvlJc w:val="left"/>
      <w:pPr>
        <w:tabs>
          <w:tab w:val="num" w:pos="5040"/>
        </w:tabs>
        <w:ind w:left="5040" w:hanging="360"/>
      </w:pPr>
      <w:rPr>
        <w:rFonts w:ascii="Symbol" w:hAnsi="Symbol" w:hint="default"/>
      </w:rPr>
    </w:lvl>
    <w:lvl w:ilvl="7" w:tplc="E434626E" w:tentative="1">
      <w:start w:val="1"/>
      <w:numFmt w:val="bullet"/>
      <w:lvlText w:val="o"/>
      <w:lvlJc w:val="left"/>
      <w:pPr>
        <w:tabs>
          <w:tab w:val="num" w:pos="5760"/>
        </w:tabs>
        <w:ind w:left="5760" w:hanging="360"/>
      </w:pPr>
      <w:rPr>
        <w:rFonts w:ascii="Courier New" w:hAnsi="Courier New" w:cs="Courier New" w:hint="default"/>
      </w:rPr>
    </w:lvl>
    <w:lvl w:ilvl="8" w:tplc="A7F86B38" w:tentative="1">
      <w:start w:val="1"/>
      <w:numFmt w:val="bullet"/>
      <w:lvlText w:val=""/>
      <w:lvlJc w:val="left"/>
      <w:pPr>
        <w:tabs>
          <w:tab w:val="num" w:pos="6480"/>
        </w:tabs>
        <w:ind w:left="6480" w:hanging="360"/>
      </w:pPr>
      <w:rPr>
        <w:rFonts w:ascii="Wingdings" w:hAnsi="Wingdings" w:hint="default"/>
      </w:rPr>
    </w:lvl>
  </w:abstractNum>
  <w:abstractNum w:abstractNumId="10">
    <w:nsid w:val="28BB531A"/>
    <w:multiLevelType w:val="hybridMultilevel"/>
    <w:tmpl w:val="9B78B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CE0578"/>
    <w:multiLevelType w:val="hybridMultilevel"/>
    <w:tmpl w:val="15CC9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0C52334"/>
    <w:multiLevelType w:val="hybridMultilevel"/>
    <w:tmpl w:val="59AEE06C"/>
    <w:lvl w:ilvl="0" w:tplc="715EBDDA">
      <w:start w:val="1"/>
      <w:numFmt w:val="bullet"/>
      <w:lvlText w:val=""/>
      <w:lvlJc w:val="left"/>
      <w:pPr>
        <w:tabs>
          <w:tab w:val="num" w:pos="720"/>
        </w:tabs>
        <w:ind w:left="720" w:hanging="360"/>
      </w:pPr>
      <w:rPr>
        <w:rFonts w:ascii="Symbol" w:hAnsi="Symbol" w:hint="default"/>
      </w:rPr>
    </w:lvl>
    <w:lvl w:ilvl="1" w:tplc="E902A1D8" w:tentative="1">
      <w:start w:val="1"/>
      <w:numFmt w:val="bullet"/>
      <w:lvlText w:val="o"/>
      <w:lvlJc w:val="left"/>
      <w:pPr>
        <w:tabs>
          <w:tab w:val="num" w:pos="1440"/>
        </w:tabs>
        <w:ind w:left="1440" w:hanging="360"/>
      </w:pPr>
      <w:rPr>
        <w:rFonts w:ascii="Courier New" w:hAnsi="Courier New" w:cs="Courier New" w:hint="default"/>
      </w:rPr>
    </w:lvl>
    <w:lvl w:ilvl="2" w:tplc="5E6CC7E4" w:tentative="1">
      <w:start w:val="1"/>
      <w:numFmt w:val="bullet"/>
      <w:lvlText w:val=""/>
      <w:lvlJc w:val="left"/>
      <w:pPr>
        <w:tabs>
          <w:tab w:val="num" w:pos="2160"/>
        </w:tabs>
        <w:ind w:left="2160" w:hanging="360"/>
      </w:pPr>
      <w:rPr>
        <w:rFonts w:ascii="Wingdings" w:hAnsi="Wingdings" w:hint="default"/>
      </w:rPr>
    </w:lvl>
    <w:lvl w:ilvl="3" w:tplc="29560FC4" w:tentative="1">
      <w:start w:val="1"/>
      <w:numFmt w:val="bullet"/>
      <w:lvlText w:val=""/>
      <w:lvlJc w:val="left"/>
      <w:pPr>
        <w:tabs>
          <w:tab w:val="num" w:pos="2880"/>
        </w:tabs>
        <w:ind w:left="2880" w:hanging="360"/>
      </w:pPr>
      <w:rPr>
        <w:rFonts w:ascii="Symbol" w:hAnsi="Symbol" w:hint="default"/>
      </w:rPr>
    </w:lvl>
    <w:lvl w:ilvl="4" w:tplc="1EDE87EE" w:tentative="1">
      <w:start w:val="1"/>
      <w:numFmt w:val="bullet"/>
      <w:lvlText w:val="o"/>
      <w:lvlJc w:val="left"/>
      <w:pPr>
        <w:tabs>
          <w:tab w:val="num" w:pos="3600"/>
        </w:tabs>
        <w:ind w:left="3600" w:hanging="360"/>
      </w:pPr>
      <w:rPr>
        <w:rFonts w:ascii="Courier New" w:hAnsi="Courier New" w:cs="Courier New" w:hint="default"/>
      </w:rPr>
    </w:lvl>
    <w:lvl w:ilvl="5" w:tplc="164A90CE" w:tentative="1">
      <w:start w:val="1"/>
      <w:numFmt w:val="bullet"/>
      <w:lvlText w:val=""/>
      <w:lvlJc w:val="left"/>
      <w:pPr>
        <w:tabs>
          <w:tab w:val="num" w:pos="4320"/>
        </w:tabs>
        <w:ind w:left="4320" w:hanging="360"/>
      </w:pPr>
      <w:rPr>
        <w:rFonts w:ascii="Wingdings" w:hAnsi="Wingdings" w:hint="default"/>
      </w:rPr>
    </w:lvl>
    <w:lvl w:ilvl="6" w:tplc="A422235C" w:tentative="1">
      <w:start w:val="1"/>
      <w:numFmt w:val="bullet"/>
      <w:lvlText w:val=""/>
      <w:lvlJc w:val="left"/>
      <w:pPr>
        <w:tabs>
          <w:tab w:val="num" w:pos="5040"/>
        </w:tabs>
        <w:ind w:left="5040" w:hanging="360"/>
      </w:pPr>
      <w:rPr>
        <w:rFonts w:ascii="Symbol" w:hAnsi="Symbol" w:hint="default"/>
      </w:rPr>
    </w:lvl>
    <w:lvl w:ilvl="7" w:tplc="E2C09642" w:tentative="1">
      <w:start w:val="1"/>
      <w:numFmt w:val="bullet"/>
      <w:lvlText w:val="o"/>
      <w:lvlJc w:val="left"/>
      <w:pPr>
        <w:tabs>
          <w:tab w:val="num" w:pos="5760"/>
        </w:tabs>
        <w:ind w:left="5760" w:hanging="360"/>
      </w:pPr>
      <w:rPr>
        <w:rFonts w:ascii="Courier New" w:hAnsi="Courier New" w:cs="Courier New" w:hint="default"/>
      </w:rPr>
    </w:lvl>
    <w:lvl w:ilvl="8" w:tplc="C73CEF82" w:tentative="1">
      <w:start w:val="1"/>
      <w:numFmt w:val="bullet"/>
      <w:lvlText w:val=""/>
      <w:lvlJc w:val="left"/>
      <w:pPr>
        <w:tabs>
          <w:tab w:val="num" w:pos="6480"/>
        </w:tabs>
        <w:ind w:left="6480" w:hanging="360"/>
      </w:pPr>
      <w:rPr>
        <w:rFonts w:ascii="Wingdings" w:hAnsi="Wingdings" w:hint="default"/>
      </w:rPr>
    </w:lvl>
  </w:abstractNum>
  <w:abstractNum w:abstractNumId="13">
    <w:nsid w:val="31526406"/>
    <w:multiLevelType w:val="hybridMultilevel"/>
    <w:tmpl w:val="32C03DA4"/>
    <w:lvl w:ilvl="0" w:tplc="20FA8306">
      <w:start w:val="1"/>
      <w:numFmt w:val="bullet"/>
      <w:lvlText w:val=""/>
      <w:lvlJc w:val="left"/>
      <w:pPr>
        <w:tabs>
          <w:tab w:val="num" w:pos="720"/>
        </w:tabs>
        <w:ind w:left="720" w:hanging="360"/>
      </w:pPr>
      <w:rPr>
        <w:rFonts w:ascii="Symbol" w:hAnsi="Symbol" w:hint="default"/>
      </w:rPr>
    </w:lvl>
    <w:lvl w:ilvl="1" w:tplc="ED9E7BB0">
      <w:start w:val="1"/>
      <w:numFmt w:val="bullet"/>
      <w:lvlText w:val="o"/>
      <w:lvlJc w:val="left"/>
      <w:pPr>
        <w:tabs>
          <w:tab w:val="num" w:pos="1440"/>
        </w:tabs>
        <w:ind w:left="1440" w:hanging="360"/>
      </w:pPr>
      <w:rPr>
        <w:rFonts w:ascii="Courier New" w:hAnsi="Courier New" w:cs="Courier New" w:hint="default"/>
      </w:rPr>
    </w:lvl>
    <w:lvl w:ilvl="2" w:tplc="7E2A80DC" w:tentative="1">
      <w:start w:val="1"/>
      <w:numFmt w:val="bullet"/>
      <w:lvlText w:val=""/>
      <w:lvlJc w:val="left"/>
      <w:pPr>
        <w:tabs>
          <w:tab w:val="num" w:pos="2160"/>
        </w:tabs>
        <w:ind w:left="2160" w:hanging="360"/>
      </w:pPr>
      <w:rPr>
        <w:rFonts w:ascii="Wingdings" w:hAnsi="Wingdings" w:hint="default"/>
      </w:rPr>
    </w:lvl>
    <w:lvl w:ilvl="3" w:tplc="14F2C574" w:tentative="1">
      <w:start w:val="1"/>
      <w:numFmt w:val="bullet"/>
      <w:lvlText w:val=""/>
      <w:lvlJc w:val="left"/>
      <w:pPr>
        <w:tabs>
          <w:tab w:val="num" w:pos="2880"/>
        </w:tabs>
        <w:ind w:left="2880" w:hanging="360"/>
      </w:pPr>
      <w:rPr>
        <w:rFonts w:ascii="Symbol" w:hAnsi="Symbol" w:hint="default"/>
      </w:rPr>
    </w:lvl>
    <w:lvl w:ilvl="4" w:tplc="9730850C" w:tentative="1">
      <w:start w:val="1"/>
      <w:numFmt w:val="bullet"/>
      <w:lvlText w:val="o"/>
      <w:lvlJc w:val="left"/>
      <w:pPr>
        <w:tabs>
          <w:tab w:val="num" w:pos="3600"/>
        </w:tabs>
        <w:ind w:left="3600" w:hanging="360"/>
      </w:pPr>
      <w:rPr>
        <w:rFonts w:ascii="Courier New" w:hAnsi="Courier New" w:cs="Courier New" w:hint="default"/>
      </w:rPr>
    </w:lvl>
    <w:lvl w:ilvl="5" w:tplc="AE568C5C" w:tentative="1">
      <w:start w:val="1"/>
      <w:numFmt w:val="bullet"/>
      <w:lvlText w:val=""/>
      <w:lvlJc w:val="left"/>
      <w:pPr>
        <w:tabs>
          <w:tab w:val="num" w:pos="4320"/>
        </w:tabs>
        <w:ind w:left="4320" w:hanging="360"/>
      </w:pPr>
      <w:rPr>
        <w:rFonts w:ascii="Wingdings" w:hAnsi="Wingdings" w:hint="default"/>
      </w:rPr>
    </w:lvl>
    <w:lvl w:ilvl="6" w:tplc="388E188E" w:tentative="1">
      <w:start w:val="1"/>
      <w:numFmt w:val="bullet"/>
      <w:lvlText w:val=""/>
      <w:lvlJc w:val="left"/>
      <w:pPr>
        <w:tabs>
          <w:tab w:val="num" w:pos="5040"/>
        </w:tabs>
        <w:ind w:left="5040" w:hanging="360"/>
      </w:pPr>
      <w:rPr>
        <w:rFonts w:ascii="Symbol" w:hAnsi="Symbol" w:hint="default"/>
      </w:rPr>
    </w:lvl>
    <w:lvl w:ilvl="7" w:tplc="58B2337A" w:tentative="1">
      <w:start w:val="1"/>
      <w:numFmt w:val="bullet"/>
      <w:lvlText w:val="o"/>
      <w:lvlJc w:val="left"/>
      <w:pPr>
        <w:tabs>
          <w:tab w:val="num" w:pos="5760"/>
        </w:tabs>
        <w:ind w:left="5760" w:hanging="360"/>
      </w:pPr>
      <w:rPr>
        <w:rFonts w:ascii="Courier New" w:hAnsi="Courier New" w:cs="Courier New" w:hint="default"/>
      </w:rPr>
    </w:lvl>
    <w:lvl w:ilvl="8" w:tplc="39C22E30" w:tentative="1">
      <w:start w:val="1"/>
      <w:numFmt w:val="bullet"/>
      <w:lvlText w:val=""/>
      <w:lvlJc w:val="left"/>
      <w:pPr>
        <w:tabs>
          <w:tab w:val="num" w:pos="6480"/>
        </w:tabs>
        <w:ind w:left="6480" w:hanging="360"/>
      </w:pPr>
      <w:rPr>
        <w:rFonts w:ascii="Wingdings" w:hAnsi="Wingdings" w:hint="default"/>
      </w:rPr>
    </w:lvl>
  </w:abstractNum>
  <w:abstractNum w:abstractNumId="14">
    <w:nsid w:val="32A813D8"/>
    <w:multiLevelType w:val="hybridMultilevel"/>
    <w:tmpl w:val="931E7574"/>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5">
    <w:nsid w:val="331E3F4F"/>
    <w:multiLevelType w:val="hybridMultilevel"/>
    <w:tmpl w:val="FB6E476A"/>
    <w:lvl w:ilvl="0" w:tplc="7C380B30">
      <w:start w:val="1"/>
      <w:numFmt w:val="bullet"/>
      <w:lvlText w:val=""/>
      <w:lvlJc w:val="left"/>
      <w:pPr>
        <w:tabs>
          <w:tab w:val="num" w:pos="1080"/>
        </w:tabs>
        <w:ind w:left="1080" w:hanging="360"/>
      </w:pPr>
      <w:rPr>
        <w:rFonts w:ascii="Symbol" w:hAnsi="Symbol" w:hint="default"/>
      </w:rPr>
    </w:lvl>
    <w:lvl w:ilvl="1" w:tplc="97DA02CA" w:tentative="1">
      <w:start w:val="1"/>
      <w:numFmt w:val="bullet"/>
      <w:lvlText w:val="o"/>
      <w:lvlJc w:val="left"/>
      <w:pPr>
        <w:tabs>
          <w:tab w:val="num" w:pos="1800"/>
        </w:tabs>
        <w:ind w:left="1800" w:hanging="360"/>
      </w:pPr>
      <w:rPr>
        <w:rFonts w:ascii="Courier New" w:hAnsi="Courier New" w:cs="Courier New" w:hint="default"/>
      </w:rPr>
    </w:lvl>
    <w:lvl w:ilvl="2" w:tplc="7272D8DC" w:tentative="1">
      <w:start w:val="1"/>
      <w:numFmt w:val="bullet"/>
      <w:lvlText w:val=""/>
      <w:lvlJc w:val="left"/>
      <w:pPr>
        <w:tabs>
          <w:tab w:val="num" w:pos="2520"/>
        </w:tabs>
        <w:ind w:left="2520" w:hanging="360"/>
      </w:pPr>
      <w:rPr>
        <w:rFonts w:ascii="Wingdings" w:hAnsi="Wingdings" w:hint="default"/>
      </w:rPr>
    </w:lvl>
    <w:lvl w:ilvl="3" w:tplc="E93E8E8A" w:tentative="1">
      <w:start w:val="1"/>
      <w:numFmt w:val="bullet"/>
      <w:lvlText w:val=""/>
      <w:lvlJc w:val="left"/>
      <w:pPr>
        <w:tabs>
          <w:tab w:val="num" w:pos="3240"/>
        </w:tabs>
        <w:ind w:left="3240" w:hanging="360"/>
      </w:pPr>
      <w:rPr>
        <w:rFonts w:ascii="Symbol" w:hAnsi="Symbol" w:hint="default"/>
      </w:rPr>
    </w:lvl>
    <w:lvl w:ilvl="4" w:tplc="E6C0EC1C" w:tentative="1">
      <w:start w:val="1"/>
      <w:numFmt w:val="bullet"/>
      <w:lvlText w:val="o"/>
      <w:lvlJc w:val="left"/>
      <w:pPr>
        <w:tabs>
          <w:tab w:val="num" w:pos="3960"/>
        </w:tabs>
        <w:ind w:left="3960" w:hanging="360"/>
      </w:pPr>
      <w:rPr>
        <w:rFonts w:ascii="Courier New" w:hAnsi="Courier New" w:cs="Courier New" w:hint="default"/>
      </w:rPr>
    </w:lvl>
    <w:lvl w:ilvl="5" w:tplc="8A1CDEFE" w:tentative="1">
      <w:start w:val="1"/>
      <w:numFmt w:val="bullet"/>
      <w:lvlText w:val=""/>
      <w:lvlJc w:val="left"/>
      <w:pPr>
        <w:tabs>
          <w:tab w:val="num" w:pos="4680"/>
        </w:tabs>
        <w:ind w:left="4680" w:hanging="360"/>
      </w:pPr>
      <w:rPr>
        <w:rFonts w:ascii="Wingdings" w:hAnsi="Wingdings" w:hint="default"/>
      </w:rPr>
    </w:lvl>
    <w:lvl w:ilvl="6" w:tplc="7AF0B5F4" w:tentative="1">
      <w:start w:val="1"/>
      <w:numFmt w:val="bullet"/>
      <w:lvlText w:val=""/>
      <w:lvlJc w:val="left"/>
      <w:pPr>
        <w:tabs>
          <w:tab w:val="num" w:pos="5400"/>
        </w:tabs>
        <w:ind w:left="5400" w:hanging="360"/>
      </w:pPr>
      <w:rPr>
        <w:rFonts w:ascii="Symbol" w:hAnsi="Symbol" w:hint="default"/>
      </w:rPr>
    </w:lvl>
    <w:lvl w:ilvl="7" w:tplc="D7FED5D8" w:tentative="1">
      <w:start w:val="1"/>
      <w:numFmt w:val="bullet"/>
      <w:lvlText w:val="o"/>
      <w:lvlJc w:val="left"/>
      <w:pPr>
        <w:tabs>
          <w:tab w:val="num" w:pos="6120"/>
        </w:tabs>
        <w:ind w:left="6120" w:hanging="360"/>
      </w:pPr>
      <w:rPr>
        <w:rFonts w:ascii="Courier New" w:hAnsi="Courier New" w:cs="Courier New" w:hint="default"/>
      </w:rPr>
    </w:lvl>
    <w:lvl w:ilvl="8" w:tplc="77847690" w:tentative="1">
      <w:start w:val="1"/>
      <w:numFmt w:val="bullet"/>
      <w:lvlText w:val=""/>
      <w:lvlJc w:val="left"/>
      <w:pPr>
        <w:tabs>
          <w:tab w:val="num" w:pos="6840"/>
        </w:tabs>
        <w:ind w:left="6840" w:hanging="360"/>
      </w:pPr>
      <w:rPr>
        <w:rFonts w:ascii="Wingdings" w:hAnsi="Wingdings" w:hint="default"/>
      </w:rPr>
    </w:lvl>
  </w:abstractNum>
  <w:abstractNum w:abstractNumId="16">
    <w:nsid w:val="34DC0CF4"/>
    <w:multiLevelType w:val="hybridMultilevel"/>
    <w:tmpl w:val="942CF862"/>
    <w:lvl w:ilvl="0" w:tplc="6B783902">
      <w:start w:val="1"/>
      <w:numFmt w:val="bullet"/>
      <w:lvlText w:val=""/>
      <w:lvlJc w:val="left"/>
      <w:pPr>
        <w:tabs>
          <w:tab w:val="num" w:pos="720"/>
        </w:tabs>
        <w:ind w:left="720" w:hanging="360"/>
      </w:pPr>
      <w:rPr>
        <w:rFonts w:ascii="Symbol" w:hAnsi="Symbol" w:hint="default"/>
      </w:rPr>
    </w:lvl>
    <w:lvl w:ilvl="1" w:tplc="6FFC8366" w:tentative="1">
      <w:start w:val="1"/>
      <w:numFmt w:val="bullet"/>
      <w:lvlText w:val="o"/>
      <w:lvlJc w:val="left"/>
      <w:pPr>
        <w:tabs>
          <w:tab w:val="num" w:pos="1440"/>
        </w:tabs>
        <w:ind w:left="1440" w:hanging="360"/>
      </w:pPr>
      <w:rPr>
        <w:rFonts w:ascii="Courier New" w:hAnsi="Courier New" w:cs="Courier New" w:hint="default"/>
      </w:rPr>
    </w:lvl>
    <w:lvl w:ilvl="2" w:tplc="66D80432" w:tentative="1">
      <w:start w:val="1"/>
      <w:numFmt w:val="bullet"/>
      <w:lvlText w:val=""/>
      <w:lvlJc w:val="left"/>
      <w:pPr>
        <w:tabs>
          <w:tab w:val="num" w:pos="2160"/>
        </w:tabs>
        <w:ind w:left="2160" w:hanging="360"/>
      </w:pPr>
      <w:rPr>
        <w:rFonts w:ascii="Wingdings" w:hAnsi="Wingdings" w:hint="default"/>
      </w:rPr>
    </w:lvl>
    <w:lvl w:ilvl="3" w:tplc="38884C4A" w:tentative="1">
      <w:start w:val="1"/>
      <w:numFmt w:val="bullet"/>
      <w:lvlText w:val=""/>
      <w:lvlJc w:val="left"/>
      <w:pPr>
        <w:tabs>
          <w:tab w:val="num" w:pos="2880"/>
        </w:tabs>
        <w:ind w:left="2880" w:hanging="360"/>
      </w:pPr>
      <w:rPr>
        <w:rFonts w:ascii="Symbol" w:hAnsi="Symbol" w:hint="default"/>
      </w:rPr>
    </w:lvl>
    <w:lvl w:ilvl="4" w:tplc="1932EB9C" w:tentative="1">
      <w:start w:val="1"/>
      <w:numFmt w:val="bullet"/>
      <w:lvlText w:val="o"/>
      <w:lvlJc w:val="left"/>
      <w:pPr>
        <w:tabs>
          <w:tab w:val="num" w:pos="3600"/>
        </w:tabs>
        <w:ind w:left="3600" w:hanging="360"/>
      </w:pPr>
      <w:rPr>
        <w:rFonts w:ascii="Courier New" w:hAnsi="Courier New" w:cs="Courier New" w:hint="default"/>
      </w:rPr>
    </w:lvl>
    <w:lvl w:ilvl="5" w:tplc="79F644FA" w:tentative="1">
      <w:start w:val="1"/>
      <w:numFmt w:val="bullet"/>
      <w:lvlText w:val=""/>
      <w:lvlJc w:val="left"/>
      <w:pPr>
        <w:tabs>
          <w:tab w:val="num" w:pos="4320"/>
        </w:tabs>
        <w:ind w:left="4320" w:hanging="360"/>
      </w:pPr>
      <w:rPr>
        <w:rFonts w:ascii="Wingdings" w:hAnsi="Wingdings" w:hint="default"/>
      </w:rPr>
    </w:lvl>
    <w:lvl w:ilvl="6" w:tplc="BA0016C0" w:tentative="1">
      <w:start w:val="1"/>
      <w:numFmt w:val="bullet"/>
      <w:lvlText w:val=""/>
      <w:lvlJc w:val="left"/>
      <w:pPr>
        <w:tabs>
          <w:tab w:val="num" w:pos="5040"/>
        </w:tabs>
        <w:ind w:left="5040" w:hanging="360"/>
      </w:pPr>
      <w:rPr>
        <w:rFonts w:ascii="Symbol" w:hAnsi="Symbol" w:hint="default"/>
      </w:rPr>
    </w:lvl>
    <w:lvl w:ilvl="7" w:tplc="406E1312" w:tentative="1">
      <w:start w:val="1"/>
      <w:numFmt w:val="bullet"/>
      <w:lvlText w:val="o"/>
      <w:lvlJc w:val="left"/>
      <w:pPr>
        <w:tabs>
          <w:tab w:val="num" w:pos="5760"/>
        </w:tabs>
        <w:ind w:left="5760" w:hanging="360"/>
      </w:pPr>
      <w:rPr>
        <w:rFonts w:ascii="Courier New" w:hAnsi="Courier New" w:cs="Courier New" w:hint="default"/>
      </w:rPr>
    </w:lvl>
    <w:lvl w:ilvl="8" w:tplc="112059A6" w:tentative="1">
      <w:start w:val="1"/>
      <w:numFmt w:val="bullet"/>
      <w:lvlText w:val=""/>
      <w:lvlJc w:val="left"/>
      <w:pPr>
        <w:tabs>
          <w:tab w:val="num" w:pos="6480"/>
        </w:tabs>
        <w:ind w:left="6480" w:hanging="360"/>
      </w:pPr>
      <w:rPr>
        <w:rFonts w:ascii="Wingdings" w:hAnsi="Wingdings" w:hint="default"/>
      </w:rPr>
    </w:lvl>
  </w:abstractNum>
  <w:abstractNum w:abstractNumId="17">
    <w:nsid w:val="377964A9"/>
    <w:multiLevelType w:val="hybridMultilevel"/>
    <w:tmpl w:val="E0920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320641"/>
    <w:multiLevelType w:val="hybridMultilevel"/>
    <w:tmpl w:val="135E6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A811835"/>
    <w:multiLevelType w:val="hybridMultilevel"/>
    <w:tmpl w:val="6F988B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F916B8F"/>
    <w:multiLevelType w:val="hybridMultilevel"/>
    <w:tmpl w:val="15C68BE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nsid w:val="43CD4207"/>
    <w:multiLevelType w:val="hybridMultilevel"/>
    <w:tmpl w:val="8E1644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3DA46DE"/>
    <w:multiLevelType w:val="multilevel"/>
    <w:tmpl w:val="BD5C1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840B1B"/>
    <w:multiLevelType w:val="hybridMultilevel"/>
    <w:tmpl w:val="7F08B2A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nsid w:val="48053DB4"/>
    <w:multiLevelType w:val="hybridMultilevel"/>
    <w:tmpl w:val="D7B247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84F4F05"/>
    <w:multiLevelType w:val="hybridMultilevel"/>
    <w:tmpl w:val="86FA9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9993755"/>
    <w:multiLevelType w:val="hybridMultilevel"/>
    <w:tmpl w:val="E932A6E2"/>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AAF7312"/>
    <w:multiLevelType w:val="hybridMultilevel"/>
    <w:tmpl w:val="94283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1CB2AC0"/>
    <w:multiLevelType w:val="hybridMultilevel"/>
    <w:tmpl w:val="9D3EDD2E"/>
    <w:lvl w:ilvl="0" w:tplc="F40E70DA">
      <w:start w:val="1"/>
      <w:numFmt w:val="bullet"/>
      <w:lvlText w:val=""/>
      <w:lvlJc w:val="left"/>
      <w:pPr>
        <w:tabs>
          <w:tab w:val="num" w:pos="720"/>
        </w:tabs>
        <w:ind w:left="720" w:hanging="360"/>
      </w:pPr>
      <w:rPr>
        <w:rFonts w:ascii="Symbol" w:hAnsi="Symbol" w:hint="default"/>
      </w:rPr>
    </w:lvl>
    <w:lvl w:ilvl="1" w:tplc="DE0C0880" w:tentative="1">
      <w:start w:val="1"/>
      <w:numFmt w:val="bullet"/>
      <w:lvlText w:val="o"/>
      <w:lvlJc w:val="left"/>
      <w:pPr>
        <w:tabs>
          <w:tab w:val="num" w:pos="1440"/>
        </w:tabs>
        <w:ind w:left="1440" w:hanging="360"/>
      </w:pPr>
      <w:rPr>
        <w:rFonts w:ascii="Courier New" w:hAnsi="Courier New" w:cs="Courier New" w:hint="default"/>
      </w:rPr>
    </w:lvl>
    <w:lvl w:ilvl="2" w:tplc="880223B8" w:tentative="1">
      <w:start w:val="1"/>
      <w:numFmt w:val="bullet"/>
      <w:lvlText w:val=""/>
      <w:lvlJc w:val="left"/>
      <w:pPr>
        <w:tabs>
          <w:tab w:val="num" w:pos="2160"/>
        </w:tabs>
        <w:ind w:left="2160" w:hanging="360"/>
      </w:pPr>
      <w:rPr>
        <w:rFonts w:ascii="Wingdings" w:hAnsi="Wingdings" w:hint="default"/>
      </w:rPr>
    </w:lvl>
    <w:lvl w:ilvl="3" w:tplc="C2467DEA" w:tentative="1">
      <w:start w:val="1"/>
      <w:numFmt w:val="bullet"/>
      <w:lvlText w:val=""/>
      <w:lvlJc w:val="left"/>
      <w:pPr>
        <w:tabs>
          <w:tab w:val="num" w:pos="2880"/>
        </w:tabs>
        <w:ind w:left="2880" w:hanging="360"/>
      </w:pPr>
      <w:rPr>
        <w:rFonts w:ascii="Symbol" w:hAnsi="Symbol" w:hint="default"/>
      </w:rPr>
    </w:lvl>
    <w:lvl w:ilvl="4" w:tplc="F1A4DCC2" w:tentative="1">
      <w:start w:val="1"/>
      <w:numFmt w:val="bullet"/>
      <w:lvlText w:val="o"/>
      <w:lvlJc w:val="left"/>
      <w:pPr>
        <w:tabs>
          <w:tab w:val="num" w:pos="3600"/>
        </w:tabs>
        <w:ind w:left="3600" w:hanging="360"/>
      </w:pPr>
      <w:rPr>
        <w:rFonts w:ascii="Courier New" w:hAnsi="Courier New" w:cs="Courier New" w:hint="default"/>
      </w:rPr>
    </w:lvl>
    <w:lvl w:ilvl="5" w:tplc="A3A8D072" w:tentative="1">
      <w:start w:val="1"/>
      <w:numFmt w:val="bullet"/>
      <w:lvlText w:val=""/>
      <w:lvlJc w:val="left"/>
      <w:pPr>
        <w:tabs>
          <w:tab w:val="num" w:pos="4320"/>
        </w:tabs>
        <w:ind w:left="4320" w:hanging="360"/>
      </w:pPr>
      <w:rPr>
        <w:rFonts w:ascii="Wingdings" w:hAnsi="Wingdings" w:hint="default"/>
      </w:rPr>
    </w:lvl>
    <w:lvl w:ilvl="6" w:tplc="36CCAE50" w:tentative="1">
      <w:start w:val="1"/>
      <w:numFmt w:val="bullet"/>
      <w:lvlText w:val=""/>
      <w:lvlJc w:val="left"/>
      <w:pPr>
        <w:tabs>
          <w:tab w:val="num" w:pos="5040"/>
        </w:tabs>
        <w:ind w:left="5040" w:hanging="360"/>
      </w:pPr>
      <w:rPr>
        <w:rFonts w:ascii="Symbol" w:hAnsi="Symbol" w:hint="default"/>
      </w:rPr>
    </w:lvl>
    <w:lvl w:ilvl="7" w:tplc="E2E0279A" w:tentative="1">
      <w:start w:val="1"/>
      <w:numFmt w:val="bullet"/>
      <w:lvlText w:val="o"/>
      <w:lvlJc w:val="left"/>
      <w:pPr>
        <w:tabs>
          <w:tab w:val="num" w:pos="5760"/>
        </w:tabs>
        <w:ind w:left="5760" w:hanging="360"/>
      </w:pPr>
      <w:rPr>
        <w:rFonts w:ascii="Courier New" w:hAnsi="Courier New" w:cs="Courier New" w:hint="default"/>
      </w:rPr>
    </w:lvl>
    <w:lvl w:ilvl="8" w:tplc="A552BD14" w:tentative="1">
      <w:start w:val="1"/>
      <w:numFmt w:val="bullet"/>
      <w:lvlText w:val=""/>
      <w:lvlJc w:val="left"/>
      <w:pPr>
        <w:tabs>
          <w:tab w:val="num" w:pos="6480"/>
        </w:tabs>
        <w:ind w:left="6480" w:hanging="360"/>
      </w:pPr>
      <w:rPr>
        <w:rFonts w:ascii="Wingdings" w:hAnsi="Wingdings" w:hint="default"/>
      </w:rPr>
    </w:lvl>
  </w:abstractNum>
  <w:abstractNum w:abstractNumId="29">
    <w:nsid w:val="537D29FB"/>
    <w:multiLevelType w:val="hybridMultilevel"/>
    <w:tmpl w:val="5658D92A"/>
    <w:lvl w:ilvl="0" w:tplc="61EE8230">
      <w:start w:val="1"/>
      <w:numFmt w:val="bullet"/>
      <w:lvlText w:val=""/>
      <w:lvlJc w:val="left"/>
      <w:pPr>
        <w:tabs>
          <w:tab w:val="num" w:pos="1440"/>
        </w:tabs>
        <w:ind w:left="1440" w:hanging="360"/>
      </w:pPr>
      <w:rPr>
        <w:rFonts w:ascii="Symbol" w:hAnsi="Symbol" w:hint="default"/>
      </w:rPr>
    </w:lvl>
    <w:lvl w:ilvl="1" w:tplc="EC78729A" w:tentative="1">
      <w:start w:val="1"/>
      <w:numFmt w:val="bullet"/>
      <w:lvlText w:val="o"/>
      <w:lvlJc w:val="left"/>
      <w:pPr>
        <w:tabs>
          <w:tab w:val="num" w:pos="2160"/>
        </w:tabs>
        <w:ind w:left="2160" w:hanging="360"/>
      </w:pPr>
      <w:rPr>
        <w:rFonts w:ascii="Courier New" w:hAnsi="Courier New" w:cs="Courier New" w:hint="default"/>
      </w:rPr>
    </w:lvl>
    <w:lvl w:ilvl="2" w:tplc="1BC26604" w:tentative="1">
      <w:start w:val="1"/>
      <w:numFmt w:val="bullet"/>
      <w:lvlText w:val=""/>
      <w:lvlJc w:val="left"/>
      <w:pPr>
        <w:tabs>
          <w:tab w:val="num" w:pos="2880"/>
        </w:tabs>
        <w:ind w:left="2880" w:hanging="360"/>
      </w:pPr>
      <w:rPr>
        <w:rFonts w:ascii="Wingdings" w:hAnsi="Wingdings" w:hint="default"/>
      </w:rPr>
    </w:lvl>
    <w:lvl w:ilvl="3" w:tplc="17E629D4" w:tentative="1">
      <w:start w:val="1"/>
      <w:numFmt w:val="bullet"/>
      <w:lvlText w:val=""/>
      <w:lvlJc w:val="left"/>
      <w:pPr>
        <w:tabs>
          <w:tab w:val="num" w:pos="3600"/>
        </w:tabs>
        <w:ind w:left="3600" w:hanging="360"/>
      </w:pPr>
      <w:rPr>
        <w:rFonts w:ascii="Symbol" w:hAnsi="Symbol" w:hint="default"/>
      </w:rPr>
    </w:lvl>
    <w:lvl w:ilvl="4" w:tplc="FD8A2D1E" w:tentative="1">
      <w:start w:val="1"/>
      <w:numFmt w:val="bullet"/>
      <w:lvlText w:val="o"/>
      <w:lvlJc w:val="left"/>
      <w:pPr>
        <w:tabs>
          <w:tab w:val="num" w:pos="4320"/>
        </w:tabs>
        <w:ind w:left="4320" w:hanging="360"/>
      </w:pPr>
      <w:rPr>
        <w:rFonts w:ascii="Courier New" w:hAnsi="Courier New" w:cs="Courier New" w:hint="default"/>
      </w:rPr>
    </w:lvl>
    <w:lvl w:ilvl="5" w:tplc="296EBBF2" w:tentative="1">
      <w:start w:val="1"/>
      <w:numFmt w:val="bullet"/>
      <w:lvlText w:val=""/>
      <w:lvlJc w:val="left"/>
      <w:pPr>
        <w:tabs>
          <w:tab w:val="num" w:pos="5040"/>
        </w:tabs>
        <w:ind w:left="5040" w:hanging="360"/>
      </w:pPr>
      <w:rPr>
        <w:rFonts w:ascii="Wingdings" w:hAnsi="Wingdings" w:hint="default"/>
      </w:rPr>
    </w:lvl>
    <w:lvl w:ilvl="6" w:tplc="CDC8F816" w:tentative="1">
      <w:start w:val="1"/>
      <w:numFmt w:val="bullet"/>
      <w:lvlText w:val=""/>
      <w:lvlJc w:val="left"/>
      <w:pPr>
        <w:tabs>
          <w:tab w:val="num" w:pos="5760"/>
        </w:tabs>
        <w:ind w:left="5760" w:hanging="360"/>
      </w:pPr>
      <w:rPr>
        <w:rFonts w:ascii="Symbol" w:hAnsi="Symbol" w:hint="default"/>
      </w:rPr>
    </w:lvl>
    <w:lvl w:ilvl="7" w:tplc="F3B4FFAA" w:tentative="1">
      <w:start w:val="1"/>
      <w:numFmt w:val="bullet"/>
      <w:lvlText w:val="o"/>
      <w:lvlJc w:val="left"/>
      <w:pPr>
        <w:tabs>
          <w:tab w:val="num" w:pos="6480"/>
        </w:tabs>
        <w:ind w:left="6480" w:hanging="360"/>
      </w:pPr>
      <w:rPr>
        <w:rFonts w:ascii="Courier New" w:hAnsi="Courier New" w:cs="Courier New" w:hint="default"/>
      </w:rPr>
    </w:lvl>
    <w:lvl w:ilvl="8" w:tplc="BB46DB2E" w:tentative="1">
      <w:start w:val="1"/>
      <w:numFmt w:val="bullet"/>
      <w:lvlText w:val=""/>
      <w:lvlJc w:val="left"/>
      <w:pPr>
        <w:tabs>
          <w:tab w:val="num" w:pos="7200"/>
        </w:tabs>
        <w:ind w:left="7200" w:hanging="360"/>
      </w:pPr>
      <w:rPr>
        <w:rFonts w:ascii="Wingdings" w:hAnsi="Wingdings" w:hint="default"/>
      </w:rPr>
    </w:lvl>
  </w:abstractNum>
  <w:abstractNum w:abstractNumId="30">
    <w:nsid w:val="541027DF"/>
    <w:multiLevelType w:val="hybridMultilevel"/>
    <w:tmpl w:val="9BFE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6F0E74"/>
    <w:multiLevelType w:val="singleLevel"/>
    <w:tmpl w:val="2F6EE314"/>
    <w:lvl w:ilvl="0">
      <w:start w:val="1"/>
      <w:numFmt w:val="bullet"/>
      <w:lvlText w:val=""/>
      <w:lvlJc w:val="left"/>
      <w:pPr>
        <w:tabs>
          <w:tab w:val="num" w:pos="360"/>
        </w:tabs>
        <w:ind w:left="360" w:hanging="360"/>
      </w:pPr>
      <w:rPr>
        <w:rFonts w:ascii="Symbol" w:hAnsi="Symbol" w:hint="default"/>
        <w:sz w:val="18"/>
      </w:rPr>
    </w:lvl>
  </w:abstractNum>
  <w:abstractNum w:abstractNumId="32">
    <w:nsid w:val="594867B4"/>
    <w:multiLevelType w:val="hybridMultilevel"/>
    <w:tmpl w:val="5046DF7C"/>
    <w:lvl w:ilvl="0" w:tplc="CD968E02">
      <w:start w:val="1"/>
      <w:numFmt w:val="bullet"/>
      <w:lvlText w:val=""/>
      <w:lvlJc w:val="left"/>
      <w:pPr>
        <w:tabs>
          <w:tab w:val="num" w:pos="720"/>
        </w:tabs>
        <w:ind w:left="720" w:hanging="360"/>
      </w:pPr>
      <w:rPr>
        <w:rFonts w:ascii="Symbol" w:hAnsi="Symbol" w:hint="default"/>
      </w:rPr>
    </w:lvl>
    <w:lvl w:ilvl="1" w:tplc="6CF44FA8" w:tentative="1">
      <w:start w:val="1"/>
      <w:numFmt w:val="bullet"/>
      <w:lvlText w:val="o"/>
      <w:lvlJc w:val="left"/>
      <w:pPr>
        <w:tabs>
          <w:tab w:val="num" w:pos="1440"/>
        </w:tabs>
        <w:ind w:left="1440" w:hanging="360"/>
      </w:pPr>
      <w:rPr>
        <w:rFonts w:ascii="Courier New" w:hAnsi="Courier New" w:cs="Courier New" w:hint="default"/>
      </w:rPr>
    </w:lvl>
    <w:lvl w:ilvl="2" w:tplc="3BBAB22E" w:tentative="1">
      <w:start w:val="1"/>
      <w:numFmt w:val="bullet"/>
      <w:lvlText w:val=""/>
      <w:lvlJc w:val="left"/>
      <w:pPr>
        <w:tabs>
          <w:tab w:val="num" w:pos="2160"/>
        </w:tabs>
        <w:ind w:left="2160" w:hanging="360"/>
      </w:pPr>
      <w:rPr>
        <w:rFonts w:ascii="Wingdings" w:hAnsi="Wingdings" w:hint="default"/>
      </w:rPr>
    </w:lvl>
    <w:lvl w:ilvl="3" w:tplc="0F942436" w:tentative="1">
      <w:start w:val="1"/>
      <w:numFmt w:val="bullet"/>
      <w:lvlText w:val=""/>
      <w:lvlJc w:val="left"/>
      <w:pPr>
        <w:tabs>
          <w:tab w:val="num" w:pos="2880"/>
        </w:tabs>
        <w:ind w:left="2880" w:hanging="360"/>
      </w:pPr>
      <w:rPr>
        <w:rFonts w:ascii="Symbol" w:hAnsi="Symbol" w:hint="default"/>
      </w:rPr>
    </w:lvl>
    <w:lvl w:ilvl="4" w:tplc="992A50CE" w:tentative="1">
      <w:start w:val="1"/>
      <w:numFmt w:val="bullet"/>
      <w:lvlText w:val="o"/>
      <w:lvlJc w:val="left"/>
      <w:pPr>
        <w:tabs>
          <w:tab w:val="num" w:pos="3600"/>
        </w:tabs>
        <w:ind w:left="3600" w:hanging="360"/>
      </w:pPr>
      <w:rPr>
        <w:rFonts w:ascii="Courier New" w:hAnsi="Courier New" w:cs="Courier New" w:hint="default"/>
      </w:rPr>
    </w:lvl>
    <w:lvl w:ilvl="5" w:tplc="877627A0" w:tentative="1">
      <w:start w:val="1"/>
      <w:numFmt w:val="bullet"/>
      <w:lvlText w:val=""/>
      <w:lvlJc w:val="left"/>
      <w:pPr>
        <w:tabs>
          <w:tab w:val="num" w:pos="4320"/>
        </w:tabs>
        <w:ind w:left="4320" w:hanging="360"/>
      </w:pPr>
      <w:rPr>
        <w:rFonts w:ascii="Wingdings" w:hAnsi="Wingdings" w:hint="default"/>
      </w:rPr>
    </w:lvl>
    <w:lvl w:ilvl="6" w:tplc="A4C8202A" w:tentative="1">
      <w:start w:val="1"/>
      <w:numFmt w:val="bullet"/>
      <w:lvlText w:val=""/>
      <w:lvlJc w:val="left"/>
      <w:pPr>
        <w:tabs>
          <w:tab w:val="num" w:pos="5040"/>
        </w:tabs>
        <w:ind w:left="5040" w:hanging="360"/>
      </w:pPr>
      <w:rPr>
        <w:rFonts w:ascii="Symbol" w:hAnsi="Symbol" w:hint="default"/>
      </w:rPr>
    </w:lvl>
    <w:lvl w:ilvl="7" w:tplc="2C284D02" w:tentative="1">
      <w:start w:val="1"/>
      <w:numFmt w:val="bullet"/>
      <w:lvlText w:val="o"/>
      <w:lvlJc w:val="left"/>
      <w:pPr>
        <w:tabs>
          <w:tab w:val="num" w:pos="5760"/>
        </w:tabs>
        <w:ind w:left="5760" w:hanging="360"/>
      </w:pPr>
      <w:rPr>
        <w:rFonts w:ascii="Courier New" w:hAnsi="Courier New" w:cs="Courier New" w:hint="default"/>
      </w:rPr>
    </w:lvl>
    <w:lvl w:ilvl="8" w:tplc="DD8E2E36" w:tentative="1">
      <w:start w:val="1"/>
      <w:numFmt w:val="bullet"/>
      <w:lvlText w:val=""/>
      <w:lvlJc w:val="left"/>
      <w:pPr>
        <w:tabs>
          <w:tab w:val="num" w:pos="6480"/>
        </w:tabs>
        <w:ind w:left="6480" w:hanging="360"/>
      </w:pPr>
      <w:rPr>
        <w:rFonts w:ascii="Wingdings" w:hAnsi="Wingdings" w:hint="default"/>
      </w:rPr>
    </w:lvl>
  </w:abstractNum>
  <w:abstractNum w:abstractNumId="33">
    <w:nsid w:val="5A61070E"/>
    <w:multiLevelType w:val="hybridMultilevel"/>
    <w:tmpl w:val="31BAFC9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5D043501"/>
    <w:multiLevelType w:val="hybridMultilevel"/>
    <w:tmpl w:val="FD8C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53121C"/>
    <w:multiLevelType w:val="hybridMultilevel"/>
    <w:tmpl w:val="FB9A0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DAF4981"/>
    <w:multiLevelType w:val="hybridMultilevel"/>
    <w:tmpl w:val="19F2D5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314416A"/>
    <w:multiLevelType w:val="hybridMultilevel"/>
    <w:tmpl w:val="102823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57D2EEF"/>
    <w:multiLevelType w:val="hybridMultilevel"/>
    <w:tmpl w:val="72F460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B9C167B"/>
    <w:multiLevelType w:val="hybridMultilevel"/>
    <w:tmpl w:val="081C72E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73681A73"/>
    <w:multiLevelType w:val="hybridMultilevel"/>
    <w:tmpl w:val="B26C5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80338C"/>
    <w:multiLevelType w:val="hybridMultilevel"/>
    <w:tmpl w:val="A792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1112D9"/>
    <w:multiLevelType w:val="hybridMultilevel"/>
    <w:tmpl w:val="73620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BC16D88"/>
    <w:multiLevelType w:val="hybridMultilevel"/>
    <w:tmpl w:val="C50CF9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DF31D48"/>
    <w:multiLevelType w:val="hybridMultilevel"/>
    <w:tmpl w:val="FBBE435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num w:numId="1">
    <w:abstractNumId w:val="15"/>
  </w:num>
  <w:num w:numId="2">
    <w:abstractNumId w:val="5"/>
  </w:num>
  <w:num w:numId="3">
    <w:abstractNumId w:val="13"/>
  </w:num>
  <w:num w:numId="4">
    <w:abstractNumId w:val="29"/>
  </w:num>
  <w:num w:numId="5">
    <w:abstractNumId w:val="26"/>
  </w:num>
  <w:num w:numId="6">
    <w:abstractNumId w:val="3"/>
  </w:num>
  <w:num w:numId="7">
    <w:abstractNumId w:val="7"/>
  </w:num>
  <w:num w:numId="8">
    <w:abstractNumId w:val="1"/>
  </w:num>
  <w:num w:numId="9">
    <w:abstractNumId w:val="28"/>
  </w:num>
  <w:num w:numId="10">
    <w:abstractNumId w:val="9"/>
  </w:num>
  <w:num w:numId="11">
    <w:abstractNumId w:val="32"/>
  </w:num>
  <w:num w:numId="12">
    <w:abstractNumId w:val="16"/>
  </w:num>
  <w:num w:numId="13">
    <w:abstractNumId w:val="12"/>
  </w:num>
  <w:num w:numId="14">
    <w:abstractNumId w:val="31"/>
  </w:num>
  <w:num w:numId="15">
    <w:abstractNumId w:val="23"/>
  </w:num>
  <w:num w:numId="16">
    <w:abstractNumId w:val="2"/>
  </w:num>
  <w:num w:numId="17">
    <w:abstractNumId w:val="42"/>
  </w:num>
  <w:num w:numId="18">
    <w:abstractNumId w:val="21"/>
  </w:num>
  <w:num w:numId="19">
    <w:abstractNumId w:val="36"/>
  </w:num>
  <w:num w:numId="20">
    <w:abstractNumId w:val="6"/>
  </w:num>
  <w:num w:numId="21">
    <w:abstractNumId w:val="35"/>
  </w:num>
  <w:num w:numId="22">
    <w:abstractNumId w:val="19"/>
  </w:num>
  <w:num w:numId="23">
    <w:abstractNumId w:val="8"/>
  </w:num>
  <w:num w:numId="24">
    <w:abstractNumId w:val="24"/>
  </w:num>
  <w:num w:numId="25">
    <w:abstractNumId w:val="27"/>
  </w:num>
  <w:num w:numId="26">
    <w:abstractNumId w:val="37"/>
  </w:num>
  <w:num w:numId="27">
    <w:abstractNumId w:val="11"/>
  </w:num>
  <w:num w:numId="28">
    <w:abstractNumId w:val="25"/>
  </w:num>
  <w:num w:numId="29">
    <w:abstractNumId w:val="38"/>
  </w:num>
  <w:num w:numId="30">
    <w:abstractNumId w:val="43"/>
  </w:num>
  <w:num w:numId="31">
    <w:abstractNumId w:val="18"/>
  </w:num>
  <w:num w:numId="32">
    <w:abstractNumId w:val="22"/>
  </w:num>
  <w:num w:numId="33">
    <w:abstractNumId w:val="39"/>
  </w:num>
  <w:num w:numId="34">
    <w:abstractNumId w:val="33"/>
  </w:num>
  <w:num w:numId="35">
    <w:abstractNumId w:val="34"/>
  </w:num>
  <w:num w:numId="36">
    <w:abstractNumId w:val="20"/>
  </w:num>
  <w:num w:numId="37">
    <w:abstractNumId w:val="41"/>
  </w:num>
  <w:num w:numId="38">
    <w:abstractNumId w:val="4"/>
  </w:num>
  <w:num w:numId="39">
    <w:abstractNumId w:val="14"/>
  </w:num>
  <w:num w:numId="40">
    <w:abstractNumId w:val="0"/>
  </w:num>
  <w:num w:numId="41">
    <w:abstractNumId w:val="10"/>
  </w:num>
  <w:num w:numId="42">
    <w:abstractNumId w:val="40"/>
  </w:num>
  <w:num w:numId="43">
    <w:abstractNumId w:val="17"/>
  </w:num>
  <w:num w:numId="44">
    <w:abstractNumId w:val="44"/>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919"/>
    <w:rsid w:val="00013638"/>
    <w:rsid w:val="000D3F55"/>
    <w:rsid w:val="000E5285"/>
    <w:rsid w:val="000F7F65"/>
    <w:rsid w:val="00122921"/>
    <w:rsid w:val="00126FA6"/>
    <w:rsid w:val="00134240"/>
    <w:rsid w:val="00184E2C"/>
    <w:rsid w:val="001B0A77"/>
    <w:rsid w:val="001B3F96"/>
    <w:rsid w:val="001C42E9"/>
    <w:rsid w:val="00202DC8"/>
    <w:rsid w:val="00252FF4"/>
    <w:rsid w:val="00253533"/>
    <w:rsid w:val="002A10F0"/>
    <w:rsid w:val="002E2BDE"/>
    <w:rsid w:val="002F1406"/>
    <w:rsid w:val="00300E54"/>
    <w:rsid w:val="003200DB"/>
    <w:rsid w:val="003325E5"/>
    <w:rsid w:val="00343077"/>
    <w:rsid w:val="00346645"/>
    <w:rsid w:val="00356977"/>
    <w:rsid w:val="00367254"/>
    <w:rsid w:val="00375D96"/>
    <w:rsid w:val="003C14CE"/>
    <w:rsid w:val="00413878"/>
    <w:rsid w:val="004205DD"/>
    <w:rsid w:val="0042104D"/>
    <w:rsid w:val="00471CC7"/>
    <w:rsid w:val="00505740"/>
    <w:rsid w:val="005127CE"/>
    <w:rsid w:val="005653F0"/>
    <w:rsid w:val="00567989"/>
    <w:rsid w:val="00614294"/>
    <w:rsid w:val="0068531F"/>
    <w:rsid w:val="006C2F9B"/>
    <w:rsid w:val="006D3258"/>
    <w:rsid w:val="006E6B09"/>
    <w:rsid w:val="00756832"/>
    <w:rsid w:val="0078435F"/>
    <w:rsid w:val="007C133F"/>
    <w:rsid w:val="008046D4"/>
    <w:rsid w:val="008553B7"/>
    <w:rsid w:val="00872AF3"/>
    <w:rsid w:val="00896362"/>
    <w:rsid w:val="008969AA"/>
    <w:rsid w:val="008D5A6F"/>
    <w:rsid w:val="00987788"/>
    <w:rsid w:val="00994773"/>
    <w:rsid w:val="009D7919"/>
    <w:rsid w:val="009F09EB"/>
    <w:rsid w:val="00A3094D"/>
    <w:rsid w:val="00A62213"/>
    <w:rsid w:val="00AF1E74"/>
    <w:rsid w:val="00AF6ADA"/>
    <w:rsid w:val="00B146C1"/>
    <w:rsid w:val="00B30F69"/>
    <w:rsid w:val="00B7551D"/>
    <w:rsid w:val="00BD70B8"/>
    <w:rsid w:val="00BD7172"/>
    <w:rsid w:val="00C14A39"/>
    <w:rsid w:val="00C526E3"/>
    <w:rsid w:val="00C66F80"/>
    <w:rsid w:val="00CA60DC"/>
    <w:rsid w:val="00CC6717"/>
    <w:rsid w:val="00CE6188"/>
    <w:rsid w:val="00CF4A17"/>
    <w:rsid w:val="00D00775"/>
    <w:rsid w:val="00D0134C"/>
    <w:rsid w:val="00D61AAC"/>
    <w:rsid w:val="00D86388"/>
    <w:rsid w:val="00E145AD"/>
    <w:rsid w:val="00E30276"/>
    <w:rsid w:val="00E75690"/>
    <w:rsid w:val="00E875ED"/>
    <w:rsid w:val="00EA5453"/>
    <w:rsid w:val="00EA5888"/>
    <w:rsid w:val="00ED15DF"/>
    <w:rsid w:val="00EE4A37"/>
    <w:rsid w:val="00EF57A1"/>
    <w:rsid w:val="00F07194"/>
    <w:rsid w:val="00F27490"/>
    <w:rsid w:val="00F321F7"/>
    <w:rsid w:val="00F46B51"/>
    <w:rsid w:val="00F51664"/>
    <w:rsid w:val="00F81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3F55"/>
    <w:rPr>
      <w:rFonts w:ascii="Arial" w:hAnsi="Arial"/>
      <w:sz w:val="24"/>
      <w:lang w:eastAsia="en-US"/>
    </w:rPr>
  </w:style>
  <w:style w:type="paragraph" w:styleId="Heading1">
    <w:name w:val="heading 1"/>
    <w:basedOn w:val="Normal"/>
    <w:next w:val="Normal"/>
    <w:qFormat/>
    <w:rsid w:val="000D3F55"/>
    <w:pPr>
      <w:keepNext/>
      <w:ind w:left="1980" w:hanging="1080"/>
      <w:jc w:val="both"/>
      <w:outlineLvl w:val="0"/>
    </w:pPr>
    <w:rPr>
      <w:rFonts w:cs="Arial"/>
      <w:i/>
      <w:sz w:val="20"/>
      <w:szCs w:val="24"/>
      <w:lang w:eastAsia="en-GB"/>
    </w:rPr>
  </w:style>
  <w:style w:type="paragraph" w:styleId="Heading2">
    <w:name w:val="heading 2"/>
    <w:basedOn w:val="Normal"/>
    <w:next w:val="Normal"/>
    <w:qFormat/>
    <w:rsid w:val="000D3F55"/>
    <w:pPr>
      <w:keepNext/>
      <w:jc w:val="center"/>
      <w:outlineLvl w:val="1"/>
    </w:pPr>
    <w:rPr>
      <w:rFonts w:cs="Arial"/>
      <w:b/>
      <w:szCs w:val="24"/>
      <w:lang w:eastAsia="en-GB"/>
    </w:rPr>
  </w:style>
  <w:style w:type="paragraph" w:styleId="Heading4">
    <w:name w:val="heading 4"/>
    <w:basedOn w:val="Normal"/>
    <w:qFormat/>
    <w:rsid w:val="000D3F55"/>
    <w:pPr>
      <w:spacing w:before="100" w:beforeAutospacing="1" w:after="100" w:afterAutospacing="1"/>
      <w:outlineLvl w:val="3"/>
    </w:pPr>
    <w:rPr>
      <w:rFonts w:ascii="Times New Roman" w:hAnsi="Times New Roman"/>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1">
    <w:name w:val="TX1"/>
    <w:rsid w:val="000D3F55"/>
    <w:pPr>
      <w:keepLines/>
      <w:overflowPunct w:val="0"/>
      <w:autoSpaceDE w:val="0"/>
      <w:autoSpaceDN w:val="0"/>
      <w:adjustRightInd w:val="0"/>
      <w:spacing w:line="280" w:lineRule="exact"/>
      <w:ind w:firstLine="240"/>
      <w:textAlignment w:val="baseline"/>
    </w:pPr>
    <w:rPr>
      <w:rFonts w:ascii="Times" w:hAnsi="Times"/>
      <w:noProof/>
      <w:color w:val="000000"/>
      <w:sz w:val="22"/>
      <w:lang w:val="en-US" w:eastAsia="en-US"/>
    </w:rPr>
  </w:style>
  <w:style w:type="paragraph" w:customStyle="1" w:styleId="BXH">
    <w:name w:val="BXH"/>
    <w:basedOn w:val="Normal"/>
    <w:rsid w:val="000D3F55"/>
    <w:pPr>
      <w:keepLines/>
      <w:overflowPunct w:val="0"/>
      <w:autoSpaceDE w:val="0"/>
      <w:autoSpaceDN w:val="0"/>
      <w:adjustRightInd w:val="0"/>
      <w:spacing w:before="200" w:after="300" w:line="220" w:lineRule="exact"/>
      <w:ind w:left="119" w:right="119"/>
      <w:textAlignment w:val="baseline"/>
    </w:pPr>
    <w:rPr>
      <w:rFonts w:ascii="Times" w:hAnsi="Times"/>
      <w:b/>
      <w:caps/>
      <w:noProof/>
      <w:sz w:val="20"/>
      <w:lang w:val="en-US"/>
    </w:rPr>
  </w:style>
  <w:style w:type="paragraph" w:customStyle="1" w:styleId="H1">
    <w:name w:val="H1"/>
    <w:rsid w:val="000D3F55"/>
    <w:pPr>
      <w:keepLines/>
      <w:overflowPunct w:val="0"/>
      <w:autoSpaceDE w:val="0"/>
      <w:autoSpaceDN w:val="0"/>
      <w:adjustRightInd w:val="0"/>
      <w:spacing w:before="350" w:after="140" w:line="360" w:lineRule="exact"/>
      <w:textAlignment w:val="baseline"/>
    </w:pPr>
    <w:rPr>
      <w:rFonts w:ascii="Times" w:hAnsi="Times"/>
      <w:b/>
      <w:noProof/>
      <w:sz w:val="32"/>
      <w:lang w:val="en-US" w:eastAsia="en-US"/>
    </w:rPr>
  </w:style>
  <w:style w:type="paragraph" w:customStyle="1" w:styleId="TX">
    <w:name w:val="TX"/>
    <w:rsid w:val="000D3F55"/>
    <w:pPr>
      <w:keepLines/>
      <w:overflowPunct w:val="0"/>
      <w:autoSpaceDE w:val="0"/>
      <w:autoSpaceDN w:val="0"/>
      <w:adjustRightInd w:val="0"/>
      <w:spacing w:line="280" w:lineRule="exact"/>
      <w:textAlignment w:val="baseline"/>
    </w:pPr>
    <w:rPr>
      <w:rFonts w:ascii="Times" w:hAnsi="Times"/>
      <w:noProof/>
      <w:sz w:val="22"/>
      <w:lang w:val="en-US" w:eastAsia="en-US"/>
    </w:rPr>
  </w:style>
  <w:style w:type="paragraph" w:customStyle="1" w:styleId="H2">
    <w:name w:val="H2"/>
    <w:rsid w:val="000D3F55"/>
    <w:pPr>
      <w:keepLines/>
      <w:overflowPunct w:val="0"/>
      <w:autoSpaceDE w:val="0"/>
      <w:autoSpaceDN w:val="0"/>
      <w:adjustRightInd w:val="0"/>
      <w:spacing w:before="300" w:after="90" w:line="300" w:lineRule="exact"/>
      <w:textAlignment w:val="baseline"/>
    </w:pPr>
    <w:rPr>
      <w:rFonts w:ascii="Times" w:hAnsi="Times"/>
      <w:b/>
      <w:noProof/>
      <w:sz w:val="26"/>
      <w:lang w:val="en-US" w:eastAsia="en-US"/>
    </w:rPr>
  </w:style>
  <w:style w:type="paragraph" w:customStyle="1" w:styleId="H3">
    <w:name w:val="H3"/>
    <w:rsid w:val="000D3F55"/>
    <w:pPr>
      <w:keepLines/>
      <w:overflowPunct w:val="0"/>
      <w:autoSpaceDE w:val="0"/>
      <w:autoSpaceDN w:val="0"/>
      <w:adjustRightInd w:val="0"/>
      <w:spacing w:before="280" w:line="280" w:lineRule="exact"/>
      <w:textAlignment w:val="baseline"/>
    </w:pPr>
    <w:rPr>
      <w:rFonts w:ascii="Times" w:hAnsi="Times"/>
      <w:noProof/>
      <w:sz w:val="22"/>
      <w:lang w:val="en-US" w:eastAsia="en-US"/>
    </w:rPr>
  </w:style>
  <w:style w:type="paragraph" w:customStyle="1" w:styleId="TFN">
    <w:name w:val="TFN"/>
    <w:rsid w:val="000D3F55"/>
    <w:pPr>
      <w:keepLines/>
      <w:overflowPunct w:val="0"/>
      <w:autoSpaceDE w:val="0"/>
      <w:autoSpaceDN w:val="0"/>
      <w:adjustRightInd w:val="0"/>
      <w:spacing w:line="220" w:lineRule="exact"/>
      <w:ind w:left="120" w:right="120"/>
      <w:textAlignment w:val="baseline"/>
    </w:pPr>
    <w:rPr>
      <w:rFonts w:ascii="Times" w:hAnsi="Times"/>
      <w:noProof/>
      <w:color w:val="000000"/>
      <w:sz w:val="18"/>
      <w:lang w:val="en-US" w:eastAsia="en-US"/>
    </w:rPr>
  </w:style>
  <w:style w:type="paragraph" w:customStyle="1" w:styleId="REF">
    <w:name w:val="REF"/>
    <w:rsid w:val="000D3F55"/>
    <w:pPr>
      <w:keepLines/>
      <w:overflowPunct w:val="0"/>
      <w:autoSpaceDE w:val="0"/>
      <w:autoSpaceDN w:val="0"/>
      <w:adjustRightInd w:val="0"/>
      <w:spacing w:before="120" w:line="220" w:lineRule="exact"/>
      <w:ind w:left="450" w:right="170" w:hanging="280"/>
      <w:textAlignment w:val="baseline"/>
    </w:pPr>
    <w:rPr>
      <w:rFonts w:ascii="Times" w:hAnsi="Times"/>
      <w:noProof/>
      <w:sz w:val="18"/>
      <w:lang w:val="en-US" w:eastAsia="en-US"/>
    </w:rPr>
  </w:style>
  <w:style w:type="paragraph" w:customStyle="1" w:styleId="BLT">
    <w:name w:val="BLT"/>
    <w:rsid w:val="000D3F55"/>
    <w:pPr>
      <w:keepLines/>
      <w:overflowPunct w:val="0"/>
      <w:autoSpaceDE w:val="0"/>
      <w:autoSpaceDN w:val="0"/>
      <w:adjustRightInd w:val="0"/>
      <w:spacing w:before="140" w:line="280" w:lineRule="exact"/>
      <w:ind w:left="274" w:hanging="274"/>
      <w:textAlignment w:val="baseline"/>
    </w:pPr>
    <w:rPr>
      <w:rFonts w:ascii="Times" w:hAnsi="Times"/>
      <w:noProof/>
      <w:color w:val="000000"/>
      <w:sz w:val="22"/>
      <w:lang w:val="en-US" w:eastAsia="en-US"/>
    </w:rPr>
  </w:style>
  <w:style w:type="paragraph" w:customStyle="1" w:styleId="BLB">
    <w:name w:val="BLB"/>
    <w:rsid w:val="000D3F55"/>
    <w:pPr>
      <w:keepLines/>
      <w:overflowPunct w:val="0"/>
      <w:autoSpaceDE w:val="0"/>
      <w:autoSpaceDN w:val="0"/>
      <w:adjustRightInd w:val="0"/>
      <w:spacing w:after="140" w:line="280" w:lineRule="exact"/>
      <w:ind w:left="280" w:hanging="280"/>
      <w:textAlignment w:val="baseline"/>
    </w:pPr>
    <w:rPr>
      <w:rFonts w:ascii="Times" w:hAnsi="Times"/>
      <w:noProof/>
      <w:sz w:val="22"/>
      <w:lang w:val="en-US" w:eastAsia="en-US"/>
    </w:rPr>
  </w:style>
  <w:style w:type="paragraph" w:customStyle="1" w:styleId="RH">
    <w:name w:val="RH"/>
    <w:basedOn w:val="REF"/>
    <w:rsid w:val="000D3F55"/>
    <w:rPr>
      <w:b/>
      <w:caps/>
      <w:color w:val="000000"/>
    </w:rPr>
  </w:style>
  <w:style w:type="paragraph" w:styleId="BalloonText">
    <w:name w:val="Balloon Text"/>
    <w:basedOn w:val="Normal"/>
    <w:semiHidden/>
    <w:rsid w:val="000D3F55"/>
    <w:rPr>
      <w:rFonts w:ascii="Tahoma" w:hAnsi="Tahoma" w:cs="Tahoma"/>
      <w:sz w:val="16"/>
      <w:szCs w:val="16"/>
    </w:rPr>
  </w:style>
  <w:style w:type="paragraph" w:customStyle="1" w:styleId="Default">
    <w:name w:val="Default"/>
    <w:rsid w:val="000D3F55"/>
    <w:pPr>
      <w:autoSpaceDE w:val="0"/>
      <w:autoSpaceDN w:val="0"/>
      <w:adjustRightInd w:val="0"/>
    </w:pPr>
    <w:rPr>
      <w:color w:val="000000"/>
      <w:sz w:val="24"/>
      <w:szCs w:val="24"/>
    </w:rPr>
  </w:style>
  <w:style w:type="paragraph" w:styleId="NormalWeb">
    <w:name w:val="Normal (Web)"/>
    <w:basedOn w:val="Normal"/>
    <w:rsid w:val="000D3F55"/>
    <w:pPr>
      <w:spacing w:before="100" w:beforeAutospacing="1" w:after="100" w:afterAutospacing="1"/>
    </w:pPr>
    <w:rPr>
      <w:rFonts w:ascii="Times New Roman" w:hAnsi="Times New Roman"/>
      <w:szCs w:val="24"/>
      <w:lang w:eastAsia="en-GB"/>
    </w:rPr>
  </w:style>
  <w:style w:type="paragraph" w:styleId="Header">
    <w:name w:val="header"/>
    <w:basedOn w:val="Normal"/>
    <w:rsid w:val="000D3F55"/>
    <w:pPr>
      <w:tabs>
        <w:tab w:val="center" w:pos="4153"/>
        <w:tab w:val="right" w:pos="8306"/>
      </w:tabs>
    </w:pPr>
  </w:style>
  <w:style w:type="paragraph" w:styleId="Footer">
    <w:name w:val="footer"/>
    <w:basedOn w:val="Normal"/>
    <w:rsid w:val="000D3F55"/>
    <w:pPr>
      <w:tabs>
        <w:tab w:val="center" w:pos="4153"/>
        <w:tab w:val="right" w:pos="8306"/>
      </w:tabs>
    </w:pPr>
  </w:style>
  <w:style w:type="paragraph" w:styleId="BodyTextIndent">
    <w:name w:val="Body Text Indent"/>
    <w:basedOn w:val="Normal"/>
    <w:rsid w:val="000D3F55"/>
    <w:pPr>
      <w:ind w:left="900"/>
    </w:pPr>
    <w:rPr>
      <w:rFonts w:cs="Arial"/>
      <w:i/>
      <w:iCs/>
      <w:sz w:val="20"/>
      <w:szCs w:val="24"/>
      <w:lang w:eastAsia="en-GB"/>
    </w:rPr>
  </w:style>
  <w:style w:type="paragraph" w:styleId="BodyTextIndent2">
    <w:name w:val="Body Text Indent 2"/>
    <w:basedOn w:val="Normal"/>
    <w:rsid w:val="000D3F55"/>
    <w:pPr>
      <w:ind w:left="900"/>
      <w:jc w:val="both"/>
    </w:pPr>
    <w:rPr>
      <w:rFonts w:cs="Arial"/>
      <w:i/>
      <w:sz w:val="20"/>
      <w:szCs w:val="24"/>
      <w:lang w:eastAsia="en-GB"/>
    </w:rPr>
  </w:style>
  <w:style w:type="character" w:styleId="CommentReference">
    <w:name w:val="annotation reference"/>
    <w:basedOn w:val="DefaultParagraphFont"/>
    <w:rsid w:val="00C526E3"/>
    <w:rPr>
      <w:sz w:val="16"/>
      <w:szCs w:val="16"/>
    </w:rPr>
  </w:style>
  <w:style w:type="paragraph" w:styleId="CommentText">
    <w:name w:val="annotation text"/>
    <w:basedOn w:val="Normal"/>
    <w:link w:val="CommentTextChar"/>
    <w:rsid w:val="00C526E3"/>
    <w:rPr>
      <w:sz w:val="20"/>
    </w:rPr>
  </w:style>
  <w:style w:type="character" w:customStyle="1" w:styleId="CommentTextChar">
    <w:name w:val="Comment Text Char"/>
    <w:basedOn w:val="DefaultParagraphFont"/>
    <w:link w:val="CommentText"/>
    <w:rsid w:val="00C526E3"/>
    <w:rPr>
      <w:rFonts w:ascii="Arial" w:hAnsi="Arial"/>
      <w:lang w:eastAsia="en-US"/>
    </w:rPr>
  </w:style>
  <w:style w:type="paragraph" w:styleId="CommentSubject">
    <w:name w:val="annotation subject"/>
    <w:basedOn w:val="CommentText"/>
    <w:next w:val="CommentText"/>
    <w:link w:val="CommentSubjectChar"/>
    <w:rsid w:val="00C526E3"/>
    <w:rPr>
      <w:b/>
      <w:bCs/>
    </w:rPr>
  </w:style>
  <w:style w:type="character" w:customStyle="1" w:styleId="CommentSubjectChar">
    <w:name w:val="Comment Subject Char"/>
    <w:basedOn w:val="CommentTextChar"/>
    <w:link w:val="CommentSubject"/>
    <w:rsid w:val="00C526E3"/>
    <w:rPr>
      <w:rFonts w:ascii="Arial" w:hAnsi="Arial"/>
      <w:b/>
      <w:bCs/>
      <w:lang w:eastAsia="en-US"/>
    </w:rPr>
  </w:style>
  <w:style w:type="paragraph" w:styleId="ListParagraph">
    <w:name w:val="List Paragraph"/>
    <w:basedOn w:val="Normal"/>
    <w:uiPriority w:val="34"/>
    <w:qFormat/>
    <w:rsid w:val="00C526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3F55"/>
    <w:rPr>
      <w:rFonts w:ascii="Arial" w:hAnsi="Arial"/>
      <w:sz w:val="24"/>
      <w:lang w:eastAsia="en-US"/>
    </w:rPr>
  </w:style>
  <w:style w:type="paragraph" w:styleId="Heading1">
    <w:name w:val="heading 1"/>
    <w:basedOn w:val="Normal"/>
    <w:next w:val="Normal"/>
    <w:qFormat/>
    <w:rsid w:val="000D3F55"/>
    <w:pPr>
      <w:keepNext/>
      <w:ind w:left="1980" w:hanging="1080"/>
      <w:jc w:val="both"/>
      <w:outlineLvl w:val="0"/>
    </w:pPr>
    <w:rPr>
      <w:rFonts w:cs="Arial"/>
      <w:i/>
      <w:sz w:val="20"/>
      <w:szCs w:val="24"/>
      <w:lang w:eastAsia="en-GB"/>
    </w:rPr>
  </w:style>
  <w:style w:type="paragraph" w:styleId="Heading2">
    <w:name w:val="heading 2"/>
    <w:basedOn w:val="Normal"/>
    <w:next w:val="Normal"/>
    <w:qFormat/>
    <w:rsid w:val="000D3F55"/>
    <w:pPr>
      <w:keepNext/>
      <w:jc w:val="center"/>
      <w:outlineLvl w:val="1"/>
    </w:pPr>
    <w:rPr>
      <w:rFonts w:cs="Arial"/>
      <w:b/>
      <w:szCs w:val="24"/>
      <w:lang w:eastAsia="en-GB"/>
    </w:rPr>
  </w:style>
  <w:style w:type="paragraph" w:styleId="Heading4">
    <w:name w:val="heading 4"/>
    <w:basedOn w:val="Normal"/>
    <w:qFormat/>
    <w:rsid w:val="000D3F55"/>
    <w:pPr>
      <w:spacing w:before="100" w:beforeAutospacing="1" w:after="100" w:afterAutospacing="1"/>
      <w:outlineLvl w:val="3"/>
    </w:pPr>
    <w:rPr>
      <w:rFonts w:ascii="Times New Roman" w:hAnsi="Times New Roman"/>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1">
    <w:name w:val="TX1"/>
    <w:rsid w:val="000D3F55"/>
    <w:pPr>
      <w:keepLines/>
      <w:overflowPunct w:val="0"/>
      <w:autoSpaceDE w:val="0"/>
      <w:autoSpaceDN w:val="0"/>
      <w:adjustRightInd w:val="0"/>
      <w:spacing w:line="280" w:lineRule="exact"/>
      <w:ind w:firstLine="240"/>
      <w:textAlignment w:val="baseline"/>
    </w:pPr>
    <w:rPr>
      <w:rFonts w:ascii="Times" w:hAnsi="Times"/>
      <w:noProof/>
      <w:color w:val="000000"/>
      <w:sz w:val="22"/>
      <w:lang w:val="en-US" w:eastAsia="en-US"/>
    </w:rPr>
  </w:style>
  <w:style w:type="paragraph" w:customStyle="1" w:styleId="BXH">
    <w:name w:val="BXH"/>
    <w:basedOn w:val="Normal"/>
    <w:rsid w:val="000D3F55"/>
    <w:pPr>
      <w:keepLines/>
      <w:overflowPunct w:val="0"/>
      <w:autoSpaceDE w:val="0"/>
      <w:autoSpaceDN w:val="0"/>
      <w:adjustRightInd w:val="0"/>
      <w:spacing w:before="200" w:after="300" w:line="220" w:lineRule="exact"/>
      <w:ind w:left="119" w:right="119"/>
      <w:textAlignment w:val="baseline"/>
    </w:pPr>
    <w:rPr>
      <w:rFonts w:ascii="Times" w:hAnsi="Times"/>
      <w:b/>
      <w:caps/>
      <w:noProof/>
      <w:sz w:val="20"/>
      <w:lang w:val="en-US"/>
    </w:rPr>
  </w:style>
  <w:style w:type="paragraph" w:customStyle="1" w:styleId="H1">
    <w:name w:val="H1"/>
    <w:rsid w:val="000D3F55"/>
    <w:pPr>
      <w:keepLines/>
      <w:overflowPunct w:val="0"/>
      <w:autoSpaceDE w:val="0"/>
      <w:autoSpaceDN w:val="0"/>
      <w:adjustRightInd w:val="0"/>
      <w:spacing w:before="350" w:after="140" w:line="360" w:lineRule="exact"/>
      <w:textAlignment w:val="baseline"/>
    </w:pPr>
    <w:rPr>
      <w:rFonts w:ascii="Times" w:hAnsi="Times"/>
      <w:b/>
      <w:noProof/>
      <w:sz w:val="32"/>
      <w:lang w:val="en-US" w:eastAsia="en-US"/>
    </w:rPr>
  </w:style>
  <w:style w:type="paragraph" w:customStyle="1" w:styleId="TX">
    <w:name w:val="TX"/>
    <w:rsid w:val="000D3F55"/>
    <w:pPr>
      <w:keepLines/>
      <w:overflowPunct w:val="0"/>
      <w:autoSpaceDE w:val="0"/>
      <w:autoSpaceDN w:val="0"/>
      <w:adjustRightInd w:val="0"/>
      <w:spacing w:line="280" w:lineRule="exact"/>
      <w:textAlignment w:val="baseline"/>
    </w:pPr>
    <w:rPr>
      <w:rFonts w:ascii="Times" w:hAnsi="Times"/>
      <w:noProof/>
      <w:sz w:val="22"/>
      <w:lang w:val="en-US" w:eastAsia="en-US"/>
    </w:rPr>
  </w:style>
  <w:style w:type="paragraph" w:customStyle="1" w:styleId="H2">
    <w:name w:val="H2"/>
    <w:rsid w:val="000D3F55"/>
    <w:pPr>
      <w:keepLines/>
      <w:overflowPunct w:val="0"/>
      <w:autoSpaceDE w:val="0"/>
      <w:autoSpaceDN w:val="0"/>
      <w:adjustRightInd w:val="0"/>
      <w:spacing w:before="300" w:after="90" w:line="300" w:lineRule="exact"/>
      <w:textAlignment w:val="baseline"/>
    </w:pPr>
    <w:rPr>
      <w:rFonts w:ascii="Times" w:hAnsi="Times"/>
      <w:b/>
      <w:noProof/>
      <w:sz w:val="26"/>
      <w:lang w:val="en-US" w:eastAsia="en-US"/>
    </w:rPr>
  </w:style>
  <w:style w:type="paragraph" w:customStyle="1" w:styleId="H3">
    <w:name w:val="H3"/>
    <w:rsid w:val="000D3F55"/>
    <w:pPr>
      <w:keepLines/>
      <w:overflowPunct w:val="0"/>
      <w:autoSpaceDE w:val="0"/>
      <w:autoSpaceDN w:val="0"/>
      <w:adjustRightInd w:val="0"/>
      <w:spacing w:before="280" w:line="280" w:lineRule="exact"/>
      <w:textAlignment w:val="baseline"/>
    </w:pPr>
    <w:rPr>
      <w:rFonts w:ascii="Times" w:hAnsi="Times"/>
      <w:noProof/>
      <w:sz w:val="22"/>
      <w:lang w:val="en-US" w:eastAsia="en-US"/>
    </w:rPr>
  </w:style>
  <w:style w:type="paragraph" w:customStyle="1" w:styleId="TFN">
    <w:name w:val="TFN"/>
    <w:rsid w:val="000D3F55"/>
    <w:pPr>
      <w:keepLines/>
      <w:overflowPunct w:val="0"/>
      <w:autoSpaceDE w:val="0"/>
      <w:autoSpaceDN w:val="0"/>
      <w:adjustRightInd w:val="0"/>
      <w:spacing w:line="220" w:lineRule="exact"/>
      <w:ind w:left="120" w:right="120"/>
      <w:textAlignment w:val="baseline"/>
    </w:pPr>
    <w:rPr>
      <w:rFonts w:ascii="Times" w:hAnsi="Times"/>
      <w:noProof/>
      <w:color w:val="000000"/>
      <w:sz w:val="18"/>
      <w:lang w:val="en-US" w:eastAsia="en-US"/>
    </w:rPr>
  </w:style>
  <w:style w:type="paragraph" w:customStyle="1" w:styleId="REF">
    <w:name w:val="REF"/>
    <w:rsid w:val="000D3F55"/>
    <w:pPr>
      <w:keepLines/>
      <w:overflowPunct w:val="0"/>
      <w:autoSpaceDE w:val="0"/>
      <w:autoSpaceDN w:val="0"/>
      <w:adjustRightInd w:val="0"/>
      <w:spacing w:before="120" w:line="220" w:lineRule="exact"/>
      <w:ind w:left="450" w:right="170" w:hanging="280"/>
      <w:textAlignment w:val="baseline"/>
    </w:pPr>
    <w:rPr>
      <w:rFonts w:ascii="Times" w:hAnsi="Times"/>
      <w:noProof/>
      <w:sz w:val="18"/>
      <w:lang w:val="en-US" w:eastAsia="en-US"/>
    </w:rPr>
  </w:style>
  <w:style w:type="paragraph" w:customStyle="1" w:styleId="BLT">
    <w:name w:val="BLT"/>
    <w:rsid w:val="000D3F55"/>
    <w:pPr>
      <w:keepLines/>
      <w:overflowPunct w:val="0"/>
      <w:autoSpaceDE w:val="0"/>
      <w:autoSpaceDN w:val="0"/>
      <w:adjustRightInd w:val="0"/>
      <w:spacing w:before="140" w:line="280" w:lineRule="exact"/>
      <w:ind w:left="274" w:hanging="274"/>
      <w:textAlignment w:val="baseline"/>
    </w:pPr>
    <w:rPr>
      <w:rFonts w:ascii="Times" w:hAnsi="Times"/>
      <w:noProof/>
      <w:color w:val="000000"/>
      <w:sz w:val="22"/>
      <w:lang w:val="en-US" w:eastAsia="en-US"/>
    </w:rPr>
  </w:style>
  <w:style w:type="paragraph" w:customStyle="1" w:styleId="BLB">
    <w:name w:val="BLB"/>
    <w:rsid w:val="000D3F55"/>
    <w:pPr>
      <w:keepLines/>
      <w:overflowPunct w:val="0"/>
      <w:autoSpaceDE w:val="0"/>
      <w:autoSpaceDN w:val="0"/>
      <w:adjustRightInd w:val="0"/>
      <w:spacing w:after="140" w:line="280" w:lineRule="exact"/>
      <w:ind w:left="280" w:hanging="280"/>
      <w:textAlignment w:val="baseline"/>
    </w:pPr>
    <w:rPr>
      <w:rFonts w:ascii="Times" w:hAnsi="Times"/>
      <w:noProof/>
      <w:sz w:val="22"/>
      <w:lang w:val="en-US" w:eastAsia="en-US"/>
    </w:rPr>
  </w:style>
  <w:style w:type="paragraph" w:customStyle="1" w:styleId="RH">
    <w:name w:val="RH"/>
    <w:basedOn w:val="REF"/>
    <w:rsid w:val="000D3F55"/>
    <w:rPr>
      <w:b/>
      <w:caps/>
      <w:color w:val="000000"/>
    </w:rPr>
  </w:style>
  <w:style w:type="paragraph" w:styleId="BalloonText">
    <w:name w:val="Balloon Text"/>
    <w:basedOn w:val="Normal"/>
    <w:semiHidden/>
    <w:rsid w:val="000D3F55"/>
    <w:rPr>
      <w:rFonts w:ascii="Tahoma" w:hAnsi="Tahoma" w:cs="Tahoma"/>
      <w:sz w:val="16"/>
      <w:szCs w:val="16"/>
    </w:rPr>
  </w:style>
  <w:style w:type="paragraph" w:customStyle="1" w:styleId="Default">
    <w:name w:val="Default"/>
    <w:rsid w:val="000D3F55"/>
    <w:pPr>
      <w:autoSpaceDE w:val="0"/>
      <w:autoSpaceDN w:val="0"/>
      <w:adjustRightInd w:val="0"/>
    </w:pPr>
    <w:rPr>
      <w:color w:val="000000"/>
      <w:sz w:val="24"/>
      <w:szCs w:val="24"/>
    </w:rPr>
  </w:style>
  <w:style w:type="paragraph" w:styleId="NormalWeb">
    <w:name w:val="Normal (Web)"/>
    <w:basedOn w:val="Normal"/>
    <w:rsid w:val="000D3F55"/>
    <w:pPr>
      <w:spacing w:before="100" w:beforeAutospacing="1" w:after="100" w:afterAutospacing="1"/>
    </w:pPr>
    <w:rPr>
      <w:rFonts w:ascii="Times New Roman" w:hAnsi="Times New Roman"/>
      <w:szCs w:val="24"/>
      <w:lang w:eastAsia="en-GB"/>
    </w:rPr>
  </w:style>
  <w:style w:type="paragraph" w:styleId="Header">
    <w:name w:val="header"/>
    <w:basedOn w:val="Normal"/>
    <w:rsid w:val="000D3F55"/>
    <w:pPr>
      <w:tabs>
        <w:tab w:val="center" w:pos="4153"/>
        <w:tab w:val="right" w:pos="8306"/>
      </w:tabs>
    </w:pPr>
  </w:style>
  <w:style w:type="paragraph" w:styleId="Footer">
    <w:name w:val="footer"/>
    <w:basedOn w:val="Normal"/>
    <w:rsid w:val="000D3F55"/>
    <w:pPr>
      <w:tabs>
        <w:tab w:val="center" w:pos="4153"/>
        <w:tab w:val="right" w:pos="8306"/>
      </w:tabs>
    </w:pPr>
  </w:style>
  <w:style w:type="paragraph" w:styleId="BodyTextIndent">
    <w:name w:val="Body Text Indent"/>
    <w:basedOn w:val="Normal"/>
    <w:rsid w:val="000D3F55"/>
    <w:pPr>
      <w:ind w:left="900"/>
    </w:pPr>
    <w:rPr>
      <w:rFonts w:cs="Arial"/>
      <w:i/>
      <w:iCs/>
      <w:sz w:val="20"/>
      <w:szCs w:val="24"/>
      <w:lang w:eastAsia="en-GB"/>
    </w:rPr>
  </w:style>
  <w:style w:type="paragraph" w:styleId="BodyTextIndent2">
    <w:name w:val="Body Text Indent 2"/>
    <w:basedOn w:val="Normal"/>
    <w:rsid w:val="000D3F55"/>
    <w:pPr>
      <w:ind w:left="900"/>
      <w:jc w:val="both"/>
    </w:pPr>
    <w:rPr>
      <w:rFonts w:cs="Arial"/>
      <w:i/>
      <w:sz w:val="20"/>
      <w:szCs w:val="24"/>
      <w:lang w:eastAsia="en-GB"/>
    </w:rPr>
  </w:style>
  <w:style w:type="character" w:styleId="CommentReference">
    <w:name w:val="annotation reference"/>
    <w:basedOn w:val="DefaultParagraphFont"/>
    <w:rsid w:val="00C526E3"/>
    <w:rPr>
      <w:sz w:val="16"/>
      <w:szCs w:val="16"/>
    </w:rPr>
  </w:style>
  <w:style w:type="paragraph" w:styleId="CommentText">
    <w:name w:val="annotation text"/>
    <w:basedOn w:val="Normal"/>
    <w:link w:val="CommentTextChar"/>
    <w:rsid w:val="00C526E3"/>
    <w:rPr>
      <w:sz w:val="20"/>
    </w:rPr>
  </w:style>
  <w:style w:type="character" w:customStyle="1" w:styleId="CommentTextChar">
    <w:name w:val="Comment Text Char"/>
    <w:basedOn w:val="DefaultParagraphFont"/>
    <w:link w:val="CommentText"/>
    <w:rsid w:val="00C526E3"/>
    <w:rPr>
      <w:rFonts w:ascii="Arial" w:hAnsi="Arial"/>
      <w:lang w:eastAsia="en-US"/>
    </w:rPr>
  </w:style>
  <w:style w:type="paragraph" w:styleId="CommentSubject">
    <w:name w:val="annotation subject"/>
    <w:basedOn w:val="CommentText"/>
    <w:next w:val="CommentText"/>
    <w:link w:val="CommentSubjectChar"/>
    <w:rsid w:val="00C526E3"/>
    <w:rPr>
      <w:b/>
      <w:bCs/>
    </w:rPr>
  </w:style>
  <w:style w:type="character" w:customStyle="1" w:styleId="CommentSubjectChar">
    <w:name w:val="Comment Subject Char"/>
    <w:basedOn w:val="CommentTextChar"/>
    <w:link w:val="CommentSubject"/>
    <w:rsid w:val="00C526E3"/>
    <w:rPr>
      <w:rFonts w:ascii="Arial" w:hAnsi="Arial"/>
      <w:b/>
      <w:bCs/>
      <w:lang w:eastAsia="en-US"/>
    </w:rPr>
  </w:style>
  <w:style w:type="paragraph" w:styleId="ListParagraph">
    <w:name w:val="List Paragraph"/>
    <w:basedOn w:val="Normal"/>
    <w:uiPriority w:val="34"/>
    <w:qFormat/>
    <w:rsid w:val="00C526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4525</Words>
  <Characters>25796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GUIDELINES FOR INSERTION  AND MAINTENANCE OF CENTRAL VENOUS CATHETERS</vt:lpstr>
    </vt:vector>
  </TitlesOfParts>
  <Company>cahgt</Company>
  <LinksUpToDate>false</LinksUpToDate>
  <CharactersWithSpaces>30261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INSERTION  AND MAINTENANCE OF CENTRAL VENOUS CATHETERS</dc:title>
  <dc:creator>TREID</dc:creator>
  <cp:lastModifiedBy>Nichola Cullen</cp:lastModifiedBy>
  <cp:revision>2</cp:revision>
  <cp:lastPrinted>2019-06-03T10:36:00Z</cp:lastPrinted>
  <dcterms:created xsi:type="dcterms:W3CDTF">2020-07-16T09:02:00Z</dcterms:created>
  <dcterms:modified xsi:type="dcterms:W3CDTF">2020-07-16T09:02:00Z</dcterms:modified>
</cp:coreProperties>
</file>